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9F6326">
      <w:pPr>
        <w:pStyle w:val="2"/>
        <w:rPr>
          <w:rFonts w:hint="eastAsia" w:ascii="仿宋_GB2312" w:hAnsi="仿宋_GB2312" w:eastAsia="仿宋_GB2312" w:cs="仿宋_GB2312"/>
          <w:b w:val="0"/>
          <w:i w:val="0"/>
          <w:caps w:val="0"/>
          <w:spacing w:val="0"/>
          <w:w w:val="100"/>
          <w:sz w:val="32"/>
          <w:szCs w:val="32"/>
        </w:rPr>
      </w:pPr>
    </w:p>
    <w:p w14:paraId="3A06D9F3">
      <w:pPr>
        <w:pStyle w:val="2"/>
        <w:rPr>
          <w:rFonts w:hint="eastAsia" w:ascii="仿宋_GB2312" w:hAnsi="仿宋_GB2312" w:eastAsia="仿宋_GB2312" w:cs="仿宋_GB2312"/>
          <w:b w:val="0"/>
          <w:i w:val="0"/>
          <w:caps w:val="0"/>
          <w:spacing w:val="0"/>
          <w:w w:val="100"/>
          <w:sz w:val="32"/>
          <w:szCs w:val="32"/>
        </w:rPr>
      </w:pPr>
      <w:r>
        <w:rPr>
          <w:sz w:val="84"/>
        </w:rPr>
        <mc:AlternateContent>
          <mc:Choice Requires="wps">
            <w:drawing>
              <wp:anchor distT="0" distB="0" distL="114300" distR="114300" simplePos="0" relativeHeight="251661312" behindDoc="0" locked="0" layoutInCell="1" allowOverlap="1">
                <wp:simplePos x="0" y="0"/>
                <wp:positionH relativeFrom="column">
                  <wp:posOffset>-205740</wp:posOffset>
                </wp:positionH>
                <wp:positionV relativeFrom="paragraph">
                  <wp:posOffset>170180</wp:posOffset>
                </wp:positionV>
                <wp:extent cx="5965825" cy="664845"/>
                <wp:effectExtent l="0" t="0" r="0" b="0"/>
                <wp:wrapNone/>
                <wp:docPr id="7" name="文本框 7"/>
                <wp:cNvGraphicFramePr/>
                <a:graphic xmlns:a="http://schemas.openxmlformats.org/drawingml/2006/main">
                  <a:graphicData uri="http://schemas.microsoft.com/office/word/2010/wordprocessingShape">
                    <wps:wsp>
                      <wps:cNvSpPr txBox="1"/>
                      <wps:spPr>
                        <a:xfrm>
                          <a:off x="0" y="0"/>
                          <a:ext cx="5965825" cy="664845"/>
                        </a:xfrm>
                        <a:prstGeom prst="rect">
                          <a:avLst/>
                        </a:prstGeom>
                        <a:noFill/>
                        <a:ln w="6350">
                          <a:noFill/>
                        </a:ln>
                        <a:effectLst/>
                      </wps:spPr>
                      <wps:txbx>
                        <w:txbxContent>
                          <w:p w14:paraId="4D2628A8">
                            <w:pPr>
                              <w:jc w:val="center"/>
                              <w:rPr>
                                <w:rFonts w:hint="eastAsia" w:ascii="方正小标宋简体" w:hAnsi="方正小标宋简体" w:eastAsia="方正小标宋简体" w:cs="方正小标宋简体"/>
                                <w:color w:val="FF0000"/>
                                <w:sz w:val="60"/>
                                <w:szCs w:val="60"/>
                                <w:lang w:eastAsia="zh-CN"/>
                              </w:rPr>
                            </w:pPr>
                            <w:r>
                              <w:rPr>
                                <w:rFonts w:hint="eastAsia" w:ascii="方正小标宋简体" w:hAnsi="方正小标宋简体" w:eastAsia="方正小标宋简体" w:cs="方正小标宋简体"/>
                                <w:color w:val="FF0000"/>
                                <w:sz w:val="60"/>
                                <w:szCs w:val="60"/>
                                <w:lang w:eastAsia="zh-CN"/>
                              </w:rPr>
                              <w:t>福州职业技术学院党委宣传统战部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2pt;margin-top:13.4pt;height:52.35pt;width:469.75pt;z-index:251661312;mso-width-relative:page;mso-height-relative:page;" filled="f" stroked="f" coordsize="21600,21600" o:gfxdata="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eaD5PbAAAACgEAAA8AAAAAAAAAAQAgAAAA&#10;IgAAAGRycy9kb3ducmV2LnhtbFBLAQIUABQAAAAIAIdO4kBtQ7tfQQIAAHQEAAAOAAAAAAAAAAEA&#10;IAAAACoBAABkcnMvZTJvRG9jLnhtbFBLBQYAAAAABgAGAFkBAADdBQAAAAA=&#10;">
                <v:fill on="f" focussize="0,0"/>
                <v:stroke on="f" weight="0.5pt"/>
                <v:imagedata o:title=""/>
                <o:lock v:ext="edit" aspectratio="f"/>
                <v:textbox>
                  <w:txbxContent>
                    <w:p w14:paraId="4D2628A8">
                      <w:pPr>
                        <w:jc w:val="center"/>
                        <w:rPr>
                          <w:rFonts w:hint="eastAsia" w:ascii="方正小标宋简体" w:hAnsi="方正小标宋简体" w:eastAsia="方正小标宋简体" w:cs="方正小标宋简体"/>
                          <w:color w:val="FF0000"/>
                          <w:sz w:val="60"/>
                          <w:szCs w:val="60"/>
                          <w:lang w:eastAsia="zh-CN"/>
                        </w:rPr>
                      </w:pPr>
                      <w:r>
                        <w:rPr>
                          <w:rFonts w:hint="eastAsia" w:ascii="方正小标宋简体" w:hAnsi="方正小标宋简体" w:eastAsia="方正小标宋简体" w:cs="方正小标宋简体"/>
                          <w:color w:val="FF0000"/>
                          <w:sz w:val="60"/>
                          <w:szCs w:val="60"/>
                          <w:lang w:eastAsia="zh-CN"/>
                        </w:rPr>
                        <w:t>福州职业技术学院党委宣传统战部</w:t>
                      </w:r>
                    </w:p>
                  </w:txbxContent>
                </v:textbox>
              </v:shape>
            </w:pict>
          </mc:Fallback>
        </mc:AlternateContent>
      </w:r>
    </w:p>
    <w:p w14:paraId="139A81E4">
      <w:pPr>
        <w:pStyle w:val="2"/>
        <w:rPr>
          <w:rFonts w:hint="eastAsia" w:ascii="仿宋_GB2312" w:hAnsi="仿宋_GB2312" w:eastAsia="仿宋_GB2312" w:cs="仿宋_GB2312"/>
          <w:b w:val="0"/>
          <w:i w:val="0"/>
          <w:caps w:val="0"/>
          <w:spacing w:val="0"/>
          <w:w w:val="100"/>
          <w:sz w:val="32"/>
          <w:szCs w:val="32"/>
        </w:rPr>
      </w:pPr>
    </w:p>
    <w:p w14:paraId="41EE50BA">
      <w:pPr>
        <w:pStyle w:val="8"/>
        <w:spacing w:beforeLines="50" w:afterLines="50" w:line="48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anchor distT="0" distB="0" distL="114300" distR="114300" simplePos="0" relativeHeight="251662336" behindDoc="0" locked="0" layoutInCell="1" allowOverlap="1">
                <wp:simplePos x="0" y="0"/>
                <wp:positionH relativeFrom="column">
                  <wp:posOffset>12065</wp:posOffset>
                </wp:positionH>
                <wp:positionV relativeFrom="paragraph">
                  <wp:posOffset>500380</wp:posOffset>
                </wp:positionV>
                <wp:extent cx="5563870" cy="31750"/>
                <wp:effectExtent l="0" t="13970" r="11430" b="17780"/>
                <wp:wrapNone/>
                <wp:docPr id="3" name="直接连接符 3"/>
                <wp:cNvGraphicFramePr/>
                <a:graphic xmlns:a="http://schemas.openxmlformats.org/drawingml/2006/main">
                  <a:graphicData uri="http://schemas.microsoft.com/office/word/2010/wordprocessingShape">
                    <wps:wsp>
                      <wps:cNvCnPr/>
                      <wps:spPr>
                        <a:xfrm flipV="1">
                          <a:off x="0" y="0"/>
                          <a:ext cx="5563870" cy="31750"/>
                        </a:xfrm>
                        <a:prstGeom prst="line">
                          <a:avLst/>
                        </a:prstGeom>
                        <a:ln w="2857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0.95pt;margin-top:39.4pt;height:2.5pt;width:438.1pt;z-index:251662336;mso-width-relative:page;mso-height-relative:page;" filled="f" stroked="t" coordsize="21600,21600" o:gfxdata="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6fQKcNgAAAAHAQAADwAAAAAAAAABACAAAAAi&#10;AAAAZHJzL2Rvd25yZXYueG1sUEsBAhQAFAAAAAgAh07iQP2P4LkKAgAAAQQAAA4AAAAAAAAAAQAg&#10;AAAAJwEAAGRycy9lMm9Eb2MueG1sUEsFBgAAAAAGAAYAWQEAAKMFAAAAAA==&#10;">
                <v:fill on="f" focussize="0,0"/>
                <v:stroke weight="2.25pt" color="#FF0000" joinstyle="round"/>
                <v:imagedata o:title=""/>
                <o:lock v:ext="edit" aspectratio="f"/>
              </v:line>
            </w:pict>
          </mc:Fallback>
        </mc:AlternateContent>
      </w:r>
      <w:r>
        <w:rPr>
          <w:rFonts w:hint="eastAsia" w:ascii="仿宋_GB2312" w:hAnsi="仿宋_GB2312" w:eastAsia="仿宋_GB2312" w:cs="仿宋_GB2312"/>
          <w:color w:val="auto"/>
          <w:sz w:val="28"/>
          <w:szCs w:val="28"/>
        </w:rPr>
        <w:t>榕职院</w:t>
      </w:r>
      <w:r>
        <w:rPr>
          <w:rFonts w:hint="eastAsia" w:ascii="仿宋_GB2312" w:hAnsi="仿宋_GB2312" w:eastAsia="仿宋_GB2312" w:cs="仿宋_GB2312"/>
          <w:color w:val="auto"/>
          <w:sz w:val="28"/>
          <w:szCs w:val="28"/>
          <w:lang w:eastAsia="zh-CN"/>
        </w:rPr>
        <w:t>委</w:t>
      </w:r>
      <w:r>
        <w:rPr>
          <w:rFonts w:hint="eastAsia" w:ascii="仿宋_GB2312" w:hAnsi="仿宋_GB2312" w:eastAsia="仿宋_GB2312" w:cs="仿宋_GB2312"/>
          <w:color w:val="auto"/>
          <w:sz w:val="28"/>
          <w:szCs w:val="28"/>
        </w:rPr>
        <w:t>宣〔202</w:t>
      </w: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val="en-US" w:eastAsia="zh-CN"/>
        </w:rPr>
        <w:t xml:space="preserve"> 4 </w:t>
      </w:r>
      <w:r>
        <w:rPr>
          <w:rFonts w:hint="eastAsia" w:ascii="仿宋_GB2312" w:hAnsi="仿宋_GB2312" w:eastAsia="仿宋_GB2312" w:cs="仿宋_GB2312"/>
          <w:color w:val="auto"/>
          <w:sz w:val="28"/>
          <w:szCs w:val="28"/>
        </w:rPr>
        <w:t>号</w:t>
      </w:r>
    </w:p>
    <w:p w14:paraId="4626840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小标宋简体" w:hAnsi="方正小标宋简体" w:eastAsia="方正小标宋简体" w:cs="方正小标宋简体"/>
          <w:b w:val="0"/>
          <w:bCs w:val="0"/>
          <w:sz w:val="36"/>
          <w:szCs w:val="36"/>
          <w:lang w:eastAsia="zh-CN"/>
        </w:rPr>
      </w:pPr>
      <w:r>
        <w:rPr>
          <w:rFonts w:hint="eastAsia" w:ascii="方正小标宋简体" w:hAnsi="华文中宋" w:eastAsia="方正小标宋简体"/>
          <w:b/>
          <w:sz w:val="36"/>
          <w:szCs w:val="36"/>
        </w:rPr>
        <w:t xml:space="preserve"> </w:t>
      </w:r>
    </w:p>
    <w:p w14:paraId="2BE2459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36"/>
          <w:szCs w:val="36"/>
          <w:lang w:eastAsia="zh-CN"/>
        </w:rPr>
      </w:pPr>
      <w:r>
        <w:rPr>
          <w:rFonts w:hint="eastAsia" w:ascii="方正小标宋简体" w:hAnsi="方正小标宋简体" w:eastAsia="方正小标宋简体" w:cs="方正小标宋简体"/>
          <w:b w:val="0"/>
          <w:bCs w:val="0"/>
          <w:sz w:val="36"/>
          <w:szCs w:val="36"/>
          <w:lang w:eastAsia="zh-CN"/>
        </w:rPr>
        <w:t>关于开展</w:t>
      </w:r>
      <w:r>
        <w:rPr>
          <w:rFonts w:hint="eastAsia" w:ascii="方正小标宋简体" w:hAnsi="方正小标宋简体" w:eastAsia="方正小标宋简体" w:cs="方正小标宋简体"/>
          <w:b w:val="0"/>
          <w:bCs w:val="0"/>
          <w:sz w:val="36"/>
          <w:szCs w:val="36"/>
          <w:lang w:val="en-US" w:eastAsia="zh-CN"/>
        </w:rPr>
        <w:t>2025年</w:t>
      </w:r>
      <w:r>
        <w:rPr>
          <w:rFonts w:hint="eastAsia" w:ascii="方正小标宋简体" w:hAnsi="方正小标宋简体" w:eastAsia="方正小标宋简体" w:cs="方正小标宋简体"/>
          <w:b w:val="0"/>
          <w:bCs w:val="0"/>
          <w:sz w:val="36"/>
          <w:szCs w:val="36"/>
          <w:lang w:eastAsia="zh-CN"/>
        </w:rPr>
        <w:t>“铸牢中华民族共同体意识主题月”</w:t>
      </w:r>
    </w:p>
    <w:p w14:paraId="4E5BE82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36"/>
          <w:szCs w:val="36"/>
          <w:lang w:eastAsia="zh-CN"/>
        </w:rPr>
      </w:pPr>
      <w:r>
        <w:rPr>
          <w:rFonts w:hint="eastAsia" w:ascii="方正小标宋简体" w:hAnsi="方正小标宋简体" w:eastAsia="方正小标宋简体" w:cs="方正小标宋简体"/>
          <w:b w:val="0"/>
          <w:bCs w:val="0"/>
          <w:sz w:val="36"/>
          <w:szCs w:val="36"/>
          <w:lang w:eastAsia="zh-CN"/>
        </w:rPr>
        <w:t>活动的通知</w:t>
      </w:r>
    </w:p>
    <w:p w14:paraId="0F1DD0F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仿宋_GB2312" w:eastAsia="方正小标宋简体" w:cs="仿宋_GB2312"/>
          <w:color w:val="000000"/>
          <w:sz w:val="36"/>
          <w:szCs w:val="36"/>
        </w:rPr>
      </w:pPr>
    </w:p>
    <w:p w14:paraId="45369CB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各党总支、直属党支部，各</w:t>
      </w:r>
      <w:r>
        <w:rPr>
          <w:rFonts w:hint="eastAsia" w:ascii="仿宋_GB2312" w:hAnsi="仿宋_GB2312" w:eastAsia="仿宋_GB2312" w:cs="仿宋_GB2312"/>
          <w:bCs/>
          <w:color w:val="000000"/>
          <w:sz w:val="28"/>
          <w:szCs w:val="28"/>
          <w:lang w:val="en-US" w:eastAsia="zh-CN"/>
        </w:rPr>
        <w:t>学院</w:t>
      </w:r>
      <w:r>
        <w:rPr>
          <w:rFonts w:hint="eastAsia" w:ascii="仿宋_GB2312" w:hAnsi="仿宋_GB2312" w:eastAsia="仿宋_GB2312" w:cs="仿宋_GB2312"/>
          <w:bCs/>
          <w:color w:val="000000"/>
          <w:sz w:val="28"/>
          <w:szCs w:val="28"/>
        </w:rPr>
        <w:t>、处室、中心、馆：</w:t>
      </w:r>
    </w:p>
    <w:p w14:paraId="5AA34EB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根据</w:t>
      </w:r>
      <w:r>
        <w:rPr>
          <w:rFonts w:hint="eastAsia" w:ascii="仿宋_GB2312" w:hAnsi="仿宋_GB2312" w:eastAsia="仿宋_GB2312" w:cs="仿宋_GB2312"/>
          <w:bCs/>
          <w:snapToGrid/>
          <w:color w:val="000000"/>
          <w:kern w:val="2"/>
          <w:sz w:val="28"/>
          <w:szCs w:val="28"/>
          <w:lang w:val="en-US" w:eastAsia="zh-CN"/>
        </w:rPr>
        <w:t>福建省民族与宗教事务厅等五部门《关于开展2025年“铸牢中华民族共同体意识主题月”活动的通知》（闽民宗〔2025〕11号）</w:t>
      </w:r>
      <w:r>
        <w:rPr>
          <w:rFonts w:hint="eastAsia" w:ascii="仿宋_GB2312" w:hAnsi="仿宋_GB2312" w:eastAsia="仿宋_GB2312" w:cs="仿宋_GB2312"/>
          <w:bCs/>
          <w:color w:val="000000"/>
          <w:sz w:val="28"/>
          <w:szCs w:val="28"/>
          <w:lang w:val="en-US" w:eastAsia="zh-CN"/>
        </w:rPr>
        <w:t>，结合学校实际，现就开展2025年</w:t>
      </w:r>
      <w:r>
        <w:rPr>
          <w:rFonts w:hint="eastAsia" w:ascii="仿宋_GB2312" w:hAnsi="仿宋_GB2312" w:eastAsia="仿宋_GB2312" w:cs="仿宋_GB2312"/>
          <w:bCs/>
          <w:color w:val="000000"/>
          <w:sz w:val="28"/>
          <w:szCs w:val="28"/>
          <w:lang w:eastAsia="zh-CN"/>
        </w:rPr>
        <w:t>“铸牢中华民族共同体意识主题月”</w:t>
      </w:r>
      <w:r>
        <w:rPr>
          <w:rFonts w:hint="eastAsia" w:ascii="仿宋_GB2312" w:hAnsi="仿宋_GB2312" w:eastAsia="仿宋_GB2312" w:cs="仿宋_GB2312"/>
          <w:bCs/>
          <w:color w:val="000000"/>
          <w:sz w:val="28"/>
          <w:szCs w:val="28"/>
          <w:lang w:val="en-US" w:eastAsia="zh-CN"/>
        </w:rPr>
        <w:t>活动有关事项通知如下：</w:t>
      </w:r>
    </w:p>
    <w:p w14:paraId="631DB93D">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bCs/>
          <w:color w:val="000000"/>
          <w:sz w:val="28"/>
          <w:szCs w:val="28"/>
          <w:lang w:val="en-US" w:eastAsia="zh-CN"/>
        </w:rPr>
      </w:pPr>
      <w:r>
        <w:rPr>
          <w:rFonts w:hint="eastAsia" w:ascii="黑体" w:hAnsi="黑体" w:eastAsia="黑体" w:cs="黑体"/>
          <w:bCs/>
          <w:color w:val="000000"/>
          <w:sz w:val="28"/>
          <w:szCs w:val="28"/>
          <w:lang w:val="en-US" w:eastAsia="zh-CN"/>
        </w:rPr>
        <w:t>一、指导思想</w:t>
      </w:r>
    </w:p>
    <w:p w14:paraId="734CD5A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坚持以习近平新时代中国特色社会主义思想为指导，完整准确全面把握和贯彻习近平总书记关于加强和改进民族工作的重要思想，特别是深刻领会习近平总书记在中央民族工作会议、中央政治局第九次集体学习、全国民族团结进步表彰大会的重要讲话精神，紧抓党中央、国务院支持福建探索海峡两岸融合发展新路建设两岸融合发展示范区的重大机遇，以铸牢中华民族共同体意识为主线，积极探索构筑中华民族共有精神家园、推动民族乡村共同富裕、促进各民族交往交流交融、实现各民族共同发展进步的路径，推动“福籽同心爱中华”集群品牌不断提升，推动福建窗口示范作用日益凸显，教育引导各族人民始终坚守共同家园、共同身份、共同名字、共同梦想，更加自觉地投身中华民族共同体建设伟大实践，为强国建设、民族复兴凝聚磅礴力量。</w:t>
      </w:r>
    </w:p>
    <w:p w14:paraId="4D30EF3F">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bCs/>
          <w:color w:val="000000"/>
          <w:sz w:val="28"/>
          <w:szCs w:val="28"/>
          <w:lang w:val="en-US" w:eastAsia="zh-CN"/>
        </w:rPr>
      </w:pPr>
      <w:r>
        <w:rPr>
          <w:rFonts w:hint="eastAsia" w:ascii="黑体" w:hAnsi="黑体" w:eastAsia="黑体" w:cs="黑体"/>
          <w:bCs/>
          <w:color w:val="000000"/>
          <w:sz w:val="28"/>
          <w:szCs w:val="28"/>
          <w:lang w:val="en-US" w:eastAsia="zh-CN"/>
        </w:rPr>
        <w:t>主要工作</w:t>
      </w:r>
    </w:p>
    <w:p w14:paraId="48C23D5C">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Cs/>
          <w:color w:val="000000"/>
          <w:sz w:val="28"/>
          <w:szCs w:val="28"/>
          <w:lang w:val="en-US" w:eastAsia="zh-CN"/>
        </w:rPr>
      </w:pPr>
      <w:r>
        <w:rPr>
          <w:rFonts w:hint="eastAsia" w:ascii="楷体_GB2312" w:hAnsi="楷体_GB2312" w:eastAsia="楷体_GB2312" w:cs="楷体_GB2312"/>
          <w:b/>
          <w:bCs w:val="0"/>
          <w:color w:val="000000"/>
          <w:sz w:val="28"/>
          <w:szCs w:val="28"/>
          <w:lang w:val="en-US" w:eastAsia="zh-CN"/>
        </w:rPr>
        <w:t>（一）开展一次专题学习。</w:t>
      </w:r>
      <w:r>
        <w:rPr>
          <w:rFonts w:hint="eastAsia" w:ascii="仿宋_GB2312" w:hAnsi="仿宋_GB2312" w:eastAsia="仿宋_GB2312" w:cs="仿宋_GB2312"/>
          <w:bCs/>
          <w:color w:val="000000"/>
          <w:sz w:val="28"/>
          <w:szCs w:val="28"/>
          <w:lang w:val="en-US" w:eastAsia="zh-CN"/>
        </w:rPr>
        <w:t>将铸牢中华民族共同体意识纳入党委理论学习中心组、教职工理论学习、“三会一课”以及师生培训等，邀请校内外专家学者、民族团结先进模范开展专题讲座，利用学校网站、官微、宣传栏等载体，推送学习资料，营造浓厚学习氛围。</w:t>
      </w:r>
    </w:p>
    <w:p w14:paraId="30B652E8">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楷体_GB2312" w:hAnsi="楷体_GB2312" w:eastAsia="楷体_GB2312" w:cs="楷体_GB2312"/>
          <w:b/>
          <w:bCs w:val="0"/>
          <w:color w:val="000000"/>
          <w:sz w:val="28"/>
          <w:szCs w:val="28"/>
          <w:lang w:val="en-US" w:eastAsia="zh-CN"/>
        </w:rPr>
      </w:pPr>
      <w:r>
        <w:rPr>
          <w:rFonts w:hint="eastAsia" w:ascii="仿宋_GB2312" w:hAnsi="仿宋_GB2312" w:eastAsia="仿宋_GB2312" w:cs="仿宋_GB2312"/>
          <w:b/>
          <w:bCs w:val="0"/>
          <w:color w:val="000000"/>
          <w:sz w:val="28"/>
          <w:szCs w:val="28"/>
          <w:lang w:val="en-US" w:eastAsia="zh-CN"/>
        </w:rPr>
        <w:t>牵头单位：宣传统战部，责任单位：组织部、人事处（教师工作部）、团委，各部门、各学院。</w:t>
      </w:r>
    </w:p>
    <w:p w14:paraId="19F5AD72">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Cs/>
          <w:color w:val="000000"/>
          <w:sz w:val="28"/>
          <w:szCs w:val="28"/>
          <w:lang w:val="en-US" w:eastAsia="zh-CN"/>
        </w:rPr>
      </w:pPr>
      <w:r>
        <w:rPr>
          <w:rFonts w:hint="eastAsia" w:ascii="楷体_GB2312" w:hAnsi="楷体_GB2312" w:eastAsia="楷体_GB2312" w:cs="楷体_GB2312"/>
          <w:b/>
          <w:bCs w:val="0"/>
          <w:color w:val="000000"/>
          <w:sz w:val="28"/>
          <w:szCs w:val="28"/>
          <w:lang w:val="en-US" w:eastAsia="zh-CN"/>
        </w:rPr>
        <w:t>（二）开展一次调研活动。</w:t>
      </w:r>
      <w:r>
        <w:rPr>
          <w:rFonts w:hint="eastAsia" w:ascii="仿宋_GB2312" w:hAnsi="仿宋_GB2312" w:eastAsia="仿宋_GB2312" w:cs="仿宋_GB2312"/>
          <w:bCs/>
          <w:color w:val="000000"/>
          <w:sz w:val="28"/>
          <w:szCs w:val="28"/>
          <w:lang w:val="en-US" w:eastAsia="zh-CN"/>
        </w:rPr>
        <w:t>组织师生深入学生社区，开展民族团结主题调研，全面了解各民族学生在校学习生活现状及需求，尤其是少数民族学生的课程适应度、学业压力、社交融入情况等，挖掘学校民族团结工作亮点与不足，形成调研报告，推动学校民族团结工作精细化、长效化。</w:t>
      </w:r>
    </w:p>
    <w:p w14:paraId="7EF9F9EB">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bCs w:val="0"/>
          <w:color w:val="000000"/>
          <w:sz w:val="28"/>
          <w:szCs w:val="28"/>
          <w:lang w:val="en-US" w:eastAsia="zh-CN"/>
        </w:rPr>
      </w:pPr>
      <w:r>
        <w:rPr>
          <w:rFonts w:hint="eastAsia" w:ascii="仿宋_GB2312" w:hAnsi="仿宋_GB2312" w:eastAsia="仿宋_GB2312" w:cs="仿宋_GB2312"/>
          <w:b/>
          <w:bCs w:val="0"/>
          <w:color w:val="000000"/>
          <w:sz w:val="28"/>
          <w:szCs w:val="28"/>
          <w:lang w:val="en-US" w:eastAsia="zh-CN"/>
        </w:rPr>
        <w:t>牵头单位：学生工作处，责任单位：各学院。</w:t>
      </w:r>
    </w:p>
    <w:p w14:paraId="06FE849B">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楷体_GB2312" w:hAnsi="楷体_GB2312" w:eastAsia="楷体_GB2312" w:cs="楷体_GB2312"/>
          <w:bCs/>
          <w:color w:val="000000"/>
          <w:sz w:val="28"/>
          <w:szCs w:val="28"/>
          <w:lang w:val="en-US" w:eastAsia="zh-CN"/>
        </w:rPr>
      </w:pPr>
      <w:r>
        <w:rPr>
          <w:rFonts w:hint="eastAsia" w:ascii="楷体_GB2312" w:hAnsi="楷体_GB2312" w:eastAsia="楷体_GB2312" w:cs="楷体_GB2312"/>
          <w:b/>
          <w:bCs w:val="0"/>
          <w:color w:val="000000"/>
          <w:sz w:val="28"/>
          <w:szCs w:val="28"/>
          <w:lang w:val="en-US" w:eastAsia="zh-CN"/>
        </w:rPr>
        <w:t>（三）开展一次志愿服务。</w:t>
      </w:r>
      <w:r>
        <w:rPr>
          <w:rFonts w:hint="eastAsia" w:ascii="仿宋_GB2312" w:hAnsi="仿宋_GB2312" w:eastAsia="仿宋_GB2312" w:cs="仿宋_GB2312"/>
          <w:bCs/>
          <w:color w:val="000000"/>
          <w:sz w:val="28"/>
          <w:szCs w:val="28"/>
          <w:lang w:val="en-US" w:eastAsia="zh-CN"/>
        </w:rPr>
        <w:t>开展“民族团结手拉手”志愿服务活动，</w:t>
      </w:r>
      <w:r>
        <w:rPr>
          <w:rFonts w:hint="eastAsia" w:ascii="仿宋_GB2312" w:hAnsi="仿宋_GB2312" w:eastAsia="仿宋_GB2312" w:cs="仿宋_GB2312"/>
          <w:bCs/>
          <w:color w:val="000000"/>
          <w:sz w:val="28"/>
          <w:szCs w:val="28"/>
          <w:lang w:eastAsia="zh-CN"/>
        </w:rPr>
        <w:t>通过结对帮扶、文化体验、社会实践等多元化形式，搭建各族师生互动平台，深化</w:t>
      </w:r>
      <w:r>
        <w:rPr>
          <w:rFonts w:hint="eastAsia" w:ascii="仿宋_GB2312" w:hAnsi="仿宋_GB2312" w:eastAsia="仿宋_GB2312" w:cs="仿宋_GB2312"/>
          <w:bCs/>
          <w:color w:val="000000"/>
          <w:sz w:val="28"/>
          <w:szCs w:val="28"/>
          <w:lang w:val="en-US" w:eastAsia="zh-CN"/>
        </w:rPr>
        <w:t>各民族</w:t>
      </w:r>
      <w:r>
        <w:rPr>
          <w:rFonts w:hint="eastAsia" w:ascii="仿宋_GB2312" w:hAnsi="仿宋_GB2312" w:eastAsia="仿宋_GB2312" w:cs="仿宋_GB2312"/>
          <w:bCs/>
          <w:color w:val="000000"/>
          <w:sz w:val="28"/>
          <w:szCs w:val="28"/>
          <w:lang w:eastAsia="zh-CN"/>
        </w:rPr>
        <w:t>青年对“中华民族一家亲”的认同感，激发青年学子维护民族团结的使命感，为构建和谐校园、推进民族团结事业贡献青春力量。</w:t>
      </w:r>
    </w:p>
    <w:p w14:paraId="3728A5DA">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bCs w:val="0"/>
          <w:color w:val="000000"/>
          <w:sz w:val="28"/>
          <w:szCs w:val="28"/>
          <w:lang w:val="en-US" w:eastAsia="zh-CN"/>
        </w:rPr>
      </w:pPr>
      <w:r>
        <w:rPr>
          <w:rFonts w:hint="eastAsia" w:ascii="仿宋_GB2312" w:hAnsi="仿宋_GB2312" w:eastAsia="仿宋_GB2312" w:cs="仿宋_GB2312"/>
          <w:b/>
          <w:bCs w:val="0"/>
          <w:color w:val="000000"/>
          <w:sz w:val="28"/>
          <w:szCs w:val="28"/>
          <w:lang w:val="en-US" w:eastAsia="zh-CN"/>
        </w:rPr>
        <w:t>牵头单位：组织部、团委，责任单位：各基层党（团）组织。</w:t>
      </w:r>
    </w:p>
    <w:p w14:paraId="1592327F">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Cs/>
          <w:color w:val="000000"/>
          <w:sz w:val="28"/>
          <w:szCs w:val="28"/>
          <w:lang w:val="en-US" w:eastAsia="zh-CN"/>
        </w:rPr>
      </w:pPr>
      <w:r>
        <w:rPr>
          <w:rFonts w:hint="eastAsia" w:ascii="楷体_GB2312" w:hAnsi="楷体_GB2312" w:eastAsia="楷体_GB2312" w:cs="楷体_GB2312"/>
          <w:b/>
          <w:bCs w:val="0"/>
          <w:color w:val="000000"/>
          <w:sz w:val="28"/>
          <w:szCs w:val="28"/>
          <w:lang w:val="en-US" w:eastAsia="zh-CN"/>
        </w:rPr>
        <w:t>（四）开展一次主题班会活动。</w:t>
      </w:r>
      <w:r>
        <w:rPr>
          <w:rFonts w:hint="eastAsia" w:ascii="仿宋_GB2312" w:hAnsi="仿宋_GB2312" w:eastAsia="仿宋_GB2312" w:cs="仿宋_GB2312"/>
          <w:bCs/>
          <w:color w:val="000000"/>
          <w:sz w:val="28"/>
          <w:szCs w:val="28"/>
          <w:lang w:val="en-US" w:eastAsia="zh-CN"/>
        </w:rPr>
        <w:t>各班级开展“中华民族一家亲”主题班会活动。以微演讲分享、红色经典赏析等为载体，促进各民族学生思想碰撞、情感交融，在润物无声中增强“五个认同”，厚植爱国情怀，为构建团结友爱的校园氛围、培育堪当民族复兴大任的时代青年夯实思想根基。</w:t>
      </w:r>
    </w:p>
    <w:p w14:paraId="6B9DDA1A">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lang w:val="en-US" w:eastAsia="zh-CN"/>
        </w:rPr>
      </w:pPr>
      <w:r>
        <w:rPr>
          <w:rFonts w:hint="eastAsia" w:ascii="仿宋_GB2312" w:hAnsi="仿宋_GB2312" w:eastAsia="仿宋_GB2312" w:cs="仿宋_GB2312"/>
          <w:b/>
          <w:bCs w:val="0"/>
          <w:color w:val="000000"/>
          <w:sz w:val="28"/>
          <w:szCs w:val="28"/>
          <w:lang w:val="en-US" w:eastAsia="zh-CN"/>
        </w:rPr>
        <w:t>牵头单位：学生工作处，责任单位：各学院。</w:t>
      </w:r>
    </w:p>
    <w:p w14:paraId="298491AD">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Cs/>
          <w:color w:val="000000"/>
          <w:sz w:val="28"/>
          <w:szCs w:val="28"/>
          <w:lang w:eastAsia="zh-CN"/>
        </w:rPr>
      </w:pPr>
      <w:r>
        <w:rPr>
          <w:rFonts w:hint="eastAsia" w:ascii="楷体_GB2312" w:hAnsi="楷体_GB2312" w:eastAsia="楷体_GB2312" w:cs="楷体_GB2312"/>
          <w:b/>
          <w:bCs w:val="0"/>
          <w:color w:val="000000"/>
          <w:sz w:val="28"/>
          <w:szCs w:val="28"/>
          <w:lang w:val="en-US" w:eastAsia="zh-CN"/>
        </w:rPr>
        <w:t>（五）开展一次文创作品展示活动。</w:t>
      </w:r>
      <w:r>
        <w:rPr>
          <w:rFonts w:hint="eastAsia" w:ascii="仿宋_GB2312" w:hAnsi="仿宋_GB2312" w:eastAsia="仿宋_GB2312" w:cs="仿宋_GB2312"/>
          <w:bCs/>
          <w:color w:val="000000"/>
          <w:sz w:val="28"/>
          <w:szCs w:val="28"/>
          <w:lang w:val="en-US" w:eastAsia="zh-CN"/>
        </w:rPr>
        <w:t>依托文化旅游学院省级“双高计划”专业群资源，创作展出一批涵盖手工艺品、摄影图片、网络动漫、短视频等多元形式的文创作品，生动展现各民族历史交融、文化共生的时代图景，增强文化自信与民族认同</w:t>
      </w:r>
      <w:r>
        <w:rPr>
          <w:rFonts w:hint="eastAsia" w:ascii="仿宋_GB2312" w:hAnsi="仿宋_GB2312" w:eastAsia="仿宋_GB2312" w:cs="仿宋_GB2312"/>
          <w:bCs/>
          <w:color w:val="000000"/>
          <w:sz w:val="28"/>
          <w:szCs w:val="28"/>
          <w:lang w:eastAsia="zh-CN"/>
        </w:rPr>
        <w:t>。</w:t>
      </w:r>
    </w:p>
    <w:p w14:paraId="1C776BCA">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楷体_GB2312" w:hAnsi="楷体_GB2312" w:eastAsia="楷体_GB2312" w:cs="楷体_GB2312"/>
          <w:b/>
          <w:bCs w:val="0"/>
          <w:color w:val="000000"/>
          <w:sz w:val="28"/>
          <w:szCs w:val="28"/>
          <w:lang w:val="en-US" w:eastAsia="zh-CN"/>
        </w:rPr>
      </w:pPr>
      <w:r>
        <w:rPr>
          <w:rFonts w:hint="eastAsia" w:ascii="仿宋_GB2312" w:hAnsi="仿宋_GB2312" w:eastAsia="仿宋_GB2312" w:cs="仿宋_GB2312"/>
          <w:b/>
          <w:bCs w:val="0"/>
          <w:color w:val="000000"/>
          <w:sz w:val="28"/>
          <w:szCs w:val="28"/>
          <w:lang w:val="en-US" w:eastAsia="zh-CN"/>
        </w:rPr>
        <w:t>牵头单位：文化旅游学院，责任单位：各部门、各学院。</w:t>
      </w:r>
    </w:p>
    <w:p w14:paraId="09EF596A">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bCs/>
          <w:color w:val="000000"/>
          <w:sz w:val="28"/>
          <w:szCs w:val="28"/>
          <w:lang w:val="en-US" w:eastAsia="zh-CN"/>
        </w:rPr>
      </w:pPr>
      <w:r>
        <w:rPr>
          <w:rFonts w:hint="eastAsia" w:ascii="黑体" w:hAnsi="黑体" w:eastAsia="黑体" w:cs="黑体"/>
          <w:bCs/>
          <w:color w:val="000000"/>
          <w:sz w:val="28"/>
          <w:szCs w:val="28"/>
          <w:lang w:val="en-US" w:eastAsia="zh-CN"/>
        </w:rPr>
        <w:t>三、有关要求</w:t>
      </w:r>
    </w:p>
    <w:p w14:paraId="018BD42A">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Cs/>
          <w:snapToGrid/>
          <w:color w:val="000000"/>
          <w:kern w:val="2"/>
          <w:sz w:val="28"/>
          <w:szCs w:val="28"/>
          <w:lang w:val="en-US" w:eastAsia="zh-CN"/>
        </w:rPr>
      </w:pPr>
      <w:r>
        <w:rPr>
          <w:rFonts w:hint="eastAsia" w:ascii="仿宋_GB2312" w:hAnsi="仿宋_GB2312" w:eastAsia="仿宋_GB2312" w:cs="仿宋_GB2312"/>
          <w:b/>
          <w:bCs w:val="0"/>
          <w:snapToGrid/>
          <w:color w:val="000000"/>
          <w:kern w:val="2"/>
          <w:sz w:val="28"/>
          <w:szCs w:val="28"/>
          <w:lang w:val="en-US" w:eastAsia="zh-CN"/>
        </w:rPr>
        <w:t>（一）高度重视，精心组织。</w:t>
      </w:r>
      <w:r>
        <w:rPr>
          <w:rFonts w:hint="eastAsia" w:ascii="仿宋_GB2312" w:hAnsi="仿宋_GB2312" w:eastAsia="仿宋_GB2312" w:cs="仿宋_GB2312"/>
          <w:bCs/>
          <w:snapToGrid/>
          <w:color w:val="000000"/>
          <w:kern w:val="2"/>
          <w:sz w:val="28"/>
          <w:szCs w:val="28"/>
          <w:lang w:val="en-US" w:eastAsia="zh-CN"/>
        </w:rPr>
        <w:t>各部门、各学院要充分认识开展“铸牢中华民族共同体意识主题月”活动的重要意义，将其作为加强民族团结进步教育、弘扬爱国主义精神的重要契机。要结合实际，制定详细的活动方案，明确活动目标、内容、时间安排和责任分工，确保各项活动有计划、有步骤推进。</w:t>
      </w:r>
    </w:p>
    <w:p w14:paraId="66D934BA">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Cs/>
          <w:snapToGrid/>
          <w:color w:val="000000"/>
          <w:kern w:val="2"/>
          <w:sz w:val="28"/>
          <w:szCs w:val="28"/>
          <w:lang w:val="en-US" w:eastAsia="zh-CN"/>
        </w:rPr>
      </w:pPr>
      <w:r>
        <w:rPr>
          <w:rFonts w:hint="eastAsia" w:ascii="仿宋_GB2312" w:hAnsi="仿宋_GB2312" w:eastAsia="仿宋_GB2312" w:cs="仿宋_GB2312"/>
          <w:b/>
          <w:bCs w:val="0"/>
          <w:snapToGrid/>
          <w:color w:val="000000"/>
          <w:kern w:val="2"/>
          <w:sz w:val="28"/>
          <w:szCs w:val="28"/>
          <w:lang w:val="en-US" w:eastAsia="zh-CN"/>
        </w:rPr>
        <w:t>（二）广泛参与，注重实效。</w:t>
      </w:r>
      <w:r>
        <w:rPr>
          <w:rFonts w:hint="eastAsia" w:ascii="仿宋_GB2312" w:hAnsi="仿宋_GB2312" w:eastAsia="仿宋_GB2312" w:cs="仿宋_GB2312"/>
          <w:bCs/>
          <w:snapToGrid/>
          <w:color w:val="000000"/>
          <w:kern w:val="2"/>
          <w:sz w:val="28"/>
          <w:szCs w:val="28"/>
          <w:lang w:val="en-US" w:eastAsia="zh-CN"/>
        </w:rPr>
        <w:t>各部门、各单位要广泛动员师生积极参与活动，确保活动的参与度和覆盖面。通过活动开展，切实增强师生的中华民族共同体意识，促进各民族师生之间的交流与团结，推动形成“中华民族一家亲”的良好局面。</w:t>
      </w:r>
    </w:p>
    <w:p w14:paraId="1F74A206">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Cs/>
          <w:snapToGrid/>
          <w:color w:val="000000"/>
          <w:kern w:val="2"/>
          <w:sz w:val="28"/>
          <w:szCs w:val="28"/>
          <w:lang w:val="en-US" w:eastAsia="zh-CN"/>
        </w:rPr>
      </w:pPr>
      <w:r>
        <w:rPr>
          <w:rFonts w:hint="eastAsia" w:ascii="仿宋_GB2312" w:hAnsi="仿宋_GB2312" w:eastAsia="仿宋_GB2312" w:cs="仿宋_GB2312"/>
          <w:b/>
          <w:bCs w:val="0"/>
          <w:snapToGrid/>
          <w:color w:val="000000"/>
          <w:kern w:val="2"/>
          <w:sz w:val="28"/>
          <w:szCs w:val="28"/>
          <w:lang w:val="en-US" w:eastAsia="zh-CN"/>
        </w:rPr>
        <w:t>（三）加强宣传，营造氛围。</w:t>
      </w:r>
      <w:r>
        <w:rPr>
          <w:rFonts w:hint="eastAsia" w:ascii="仿宋_GB2312" w:hAnsi="仿宋_GB2312" w:eastAsia="仿宋_GB2312" w:cs="仿宋_GB2312"/>
          <w:bCs/>
          <w:snapToGrid/>
          <w:color w:val="000000"/>
          <w:kern w:val="2"/>
          <w:sz w:val="28"/>
          <w:szCs w:val="28"/>
          <w:lang w:val="en-US" w:eastAsia="zh-CN"/>
        </w:rPr>
        <w:t>各部门、各单位要线上线下多渠道广泛宣传，及时报道活动进展，扩大活动影响力。注重挖掘活动中涌现出的先进典型和感人事迹，通过树立榜样、表彰先进，激励师生积极参与民族团结进步事业。</w:t>
      </w:r>
    </w:p>
    <w:p w14:paraId="49300C0B">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Cs/>
          <w:snapToGrid/>
          <w:color w:val="000000"/>
          <w:kern w:val="2"/>
          <w:sz w:val="28"/>
          <w:szCs w:val="28"/>
          <w:lang w:val="en-US" w:eastAsia="zh-CN"/>
        </w:rPr>
      </w:pPr>
      <w:r>
        <w:rPr>
          <w:rFonts w:hint="eastAsia" w:ascii="仿宋_GB2312" w:hAnsi="仿宋_GB2312" w:eastAsia="仿宋_GB2312" w:cs="仿宋_GB2312"/>
          <w:b/>
          <w:bCs w:val="0"/>
          <w:snapToGrid/>
          <w:color w:val="000000"/>
          <w:kern w:val="2"/>
          <w:sz w:val="28"/>
          <w:szCs w:val="28"/>
          <w:lang w:val="en-US" w:eastAsia="zh-CN"/>
        </w:rPr>
        <w:t>（四）总结经验，持续推动。</w:t>
      </w:r>
      <w:r>
        <w:rPr>
          <w:rFonts w:hint="eastAsia" w:ascii="仿宋_GB2312" w:hAnsi="仿宋_GB2312" w:eastAsia="仿宋_GB2312" w:cs="仿宋_GB2312"/>
          <w:bCs/>
          <w:snapToGrid/>
          <w:color w:val="000000"/>
          <w:kern w:val="2"/>
          <w:sz w:val="28"/>
          <w:szCs w:val="28"/>
          <w:lang w:val="en-US" w:eastAsia="zh-CN"/>
        </w:rPr>
        <w:t>各部门、各单位要及时对活动组织、实施、成效等方面进行全面梳理，将活动中形成的好经验、好做法进行总结推广。要将“铸牢中华民族共同体意识”作为一项长期工作，建立健全长效机制，持续开展民族团结进步宣传教育活动，进一步巩固活动成果。</w:t>
      </w:r>
    </w:p>
    <w:p w14:paraId="7D01A23E">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各牵头单位请于3月31日前将主题月活动开展情况汇总报送至宣传统战部。</w:t>
      </w:r>
    </w:p>
    <w:p w14:paraId="677C15CC">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Cs/>
          <w:color w:val="000000"/>
          <w:sz w:val="28"/>
          <w:szCs w:val="28"/>
          <w:lang w:val="en-US" w:eastAsia="zh-CN"/>
        </w:rPr>
      </w:pPr>
    </w:p>
    <w:p w14:paraId="4D2F6C3F">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 xml:space="preserve">                                </w:t>
      </w:r>
    </w:p>
    <w:p w14:paraId="580748CB">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 xml:space="preserve">                       党委宣传统战部                      </w:t>
      </w:r>
    </w:p>
    <w:p w14:paraId="2C40D49E">
      <w:pPr>
        <w:pStyle w:val="2"/>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ascii="仿宋_GB2312" w:hAnsi="仿宋" w:eastAsia="仿宋_GB2312"/>
          <w:snapToGrid w:val="0"/>
          <w:color w:val="000000"/>
          <w:kern w:val="0"/>
          <w:sz w:val="30"/>
          <w:szCs w:val="30"/>
        </w:rPr>
      </w:pPr>
      <w:r>
        <w:rPr>
          <w:rFonts w:hint="eastAsia" w:ascii="仿宋_GB2312" w:hAnsi="仿宋_GB2312" w:eastAsia="仿宋_GB2312" w:cs="仿宋_GB2312"/>
          <w:bCs/>
          <w:color w:val="000000"/>
          <w:sz w:val="28"/>
          <w:szCs w:val="28"/>
          <w:lang w:val="en-US" w:eastAsia="zh-CN"/>
        </w:rPr>
        <w:t xml:space="preserve">                                  2025年3月14</w:t>
      </w:r>
      <w:bookmarkStart w:id="0" w:name="_GoBack"/>
      <w:bookmarkEnd w:id="0"/>
      <w:r>
        <w:rPr>
          <w:rFonts w:hint="eastAsia" w:ascii="仿宋_GB2312" w:hAnsi="仿宋_GB2312" w:eastAsia="仿宋_GB2312" w:cs="仿宋_GB2312"/>
          <w:bCs/>
          <w:color w:val="000000"/>
          <w:sz w:val="28"/>
          <w:szCs w:val="28"/>
          <w:lang w:val="en-US" w:eastAsia="zh-CN"/>
        </w:rPr>
        <w:t>日</w:t>
      </w:r>
    </w:p>
    <w:p w14:paraId="283424E6">
      <w:pPr>
        <w:pStyle w:val="2"/>
        <w:rPr>
          <w:rFonts w:hint="eastAsia" w:ascii="仿宋_GB2312" w:hAnsi="仿宋" w:eastAsia="仿宋_GB2312"/>
          <w:snapToGrid w:val="0"/>
          <w:color w:val="000000"/>
          <w:kern w:val="0"/>
          <w:sz w:val="30"/>
          <w:szCs w:val="30"/>
        </w:rPr>
      </w:pPr>
    </w:p>
    <w:p w14:paraId="4E54430B">
      <w:pPr>
        <w:pStyle w:val="2"/>
        <w:rPr>
          <w:rFonts w:hint="eastAsia" w:ascii="仿宋_GB2312" w:hAnsi="仿宋" w:eastAsia="仿宋_GB2312"/>
          <w:snapToGrid w:val="0"/>
          <w:color w:val="000000"/>
          <w:kern w:val="0"/>
          <w:sz w:val="30"/>
          <w:szCs w:val="30"/>
        </w:rPr>
      </w:pPr>
    </w:p>
    <w:p w14:paraId="1042AE39">
      <w:pPr>
        <w:pStyle w:val="2"/>
        <w:ind w:left="0" w:leftChars="0" w:firstLine="0" w:firstLineChars="0"/>
        <w:rPr>
          <w:rFonts w:hint="eastAsia" w:ascii="仿宋_GB2312" w:hAnsi="仿宋" w:eastAsia="仿宋_GB2312"/>
          <w:snapToGrid w:val="0"/>
          <w:color w:val="000000"/>
          <w:kern w:val="0"/>
          <w:sz w:val="30"/>
          <w:szCs w:val="30"/>
        </w:rPr>
      </w:pPr>
    </w:p>
    <w:p w14:paraId="37618D0D">
      <w:pPr>
        <w:pStyle w:val="2"/>
        <w:rPr>
          <w:rFonts w:hint="eastAsia" w:ascii="仿宋_GB2312" w:hAnsi="仿宋" w:eastAsia="仿宋_GB2312"/>
          <w:snapToGrid w:val="0"/>
          <w:color w:val="000000"/>
          <w:kern w:val="0"/>
          <w:sz w:val="30"/>
          <w:szCs w:val="30"/>
        </w:rPr>
      </w:pPr>
    </w:p>
    <w:p w14:paraId="7C5D8F4C">
      <w:pPr>
        <w:pStyle w:val="2"/>
        <w:rPr>
          <w:rFonts w:hint="eastAsia" w:ascii="仿宋_GB2312" w:hAnsi="仿宋" w:eastAsia="仿宋_GB2312"/>
          <w:snapToGrid w:val="0"/>
          <w:color w:val="000000"/>
          <w:kern w:val="0"/>
          <w:sz w:val="30"/>
          <w:szCs w:val="30"/>
        </w:rPr>
      </w:pPr>
    </w:p>
    <w:p w14:paraId="1E2F4D58">
      <w:pPr>
        <w:pStyle w:val="2"/>
        <w:rPr>
          <w:rFonts w:hint="eastAsia" w:ascii="仿宋_GB2312" w:hAnsi="仿宋" w:eastAsia="仿宋_GB2312"/>
          <w:snapToGrid w:val="0"/>
          <w:color w:val="000000"/>
          <w:kern w:val="0"/>
          <w:sz w:val="30"/>
          <w:szCs w:val="30"/>
        </w:rPr>
      </w:pPr>
    </w:p>
    <w:p w14:paraId="5B12841B">
      <w:pPr>
        <w:pStyle w:val="2"/>
        <w:rPr>
          <w:rFonts w:hint="eastAsia" w:ascii="仿宋_GB2312" w:hAnsi="仿宋" w:eastAsia="仿宋_GB2312"/>
          <w:snapToGrid w:val="0"/>
          <w:color w:val="000000"/>
          <w:kern w:val="0"/>
          <w:sz w:val="30"/>
          <w:szCs w:val="30"/>
        </w:rPr>
      </w:pPr>
    </w:p>
    <w:p w14:paraId="2FDDFB33">
      <w:pPr>
        <w:pStyle w:val="2"/>
        <w:rPr>
          <w:rFonts w:hint="eastAsia" w:ascii="仿宋_GB2312" w:hAnsi="仿宋" w:eastAsia="仿宋_GB2312"/>
          <w:snapToGrid w:val="0"/>
          <w:color w:val="000000"/>
          <w:kern w:val="0"/>
          <w:sz w:val="30"/>
          <w:szCs w:val="30"/>
        </w:rPr>
      </w:pPr>
    </w:p>
    <w:p w14:paraId="50CA6457">
      <w:pPr>
        <w:pStyle w:val="2"/>
        <w:rPr>
          <w:rFonts w:hint="eastAsia" w:ascii="仿宋_GB2312" w:hAnsi="仿宋" w:eastAsia="仿宋_GB2312"/>
          <w:snapToGrid w:val="0"/>
          <w:color w:val="000000"/>
          <w:kern w:val="0"/>
          <w:sz w:val="30"/>
          <w:szCs w:val="30"/>
        </w:rPr>
      </w:pPr>
    </w:p>
    <w:p w14:paraId="4C1F4EA3">
      <w:pPr>
        <w:pStyle w:val="2"/>
        <w:rPr>
          <w:rFonts w:hint="eastAsia" w:ascii="仿宋_GB2312" w:hAnsi="仿宋" w:eastAsia="仿宋_GB2312"/>
          <w:snapToGrid w:val="0"/>
          <w:color w:val="000000"/>
          <w:kern w:val="0"/>
          <w:sz w:val="30"/>
          <w:szCs w:val="30"/>
        </w:rPr>
      </w:pPr>
    </w:p>
    <w:p w14:paraId="42EA6C21">
      <w:pPr>
        <w:pStyle w:val="2"/>
        <w:rPr>
          <w:rFonts w:hint="eastAsia" w:ascii="仿宋_GB2312" w:hAnsi="仿宋" w:eastAsia="仿宋_GB2312"/>
          <w:snapToGrid w:val="0"/>
          <w:color w:val="000000"/>
          <w:kern w:val="0"/>
          <w:sz w:val="30"/>
          <w:szCs w:val="30"/>
        </w:rPr>
      </w:pPr>
    </w:p>
    <w:p w14:paraId="757BD9D5">
      <w:pPr>
        <w:pStyle w:val="2"/>
        <w:rPr>
          <w:rFonts w:hint="eastAsia" w:ascii="仿宋_GB2312" w:hAnsi="仿宋" w:eastAsia="仿宋_GB2312"/>
          <w:snapToGrid w:val="0"/>
          <w:color w:val="000000"/>
          <w:kern w:val="0"/>
          <w:sz w:val="30"/>
          <w:szCs w:val="30"/>
        </w:rPr>
      </w:pPr>
    </w:p>
    <w:p w14:paraId="1F953F88">
      <w:pPr>
        <w:pStyle w:val="2"/>
        <w:rPr>
          <w:rFonts w:hint="eastAsia" w:ascii="仿宋_GB2312" w:hAnsi="仿宋" w:eastAsia="仿宋_GB2312"/>
          <w:snapToGrid w:val="0"/>
          <w:color w:val="000000"/>
          <w:kern w:val="0"/>
          <w:sz w:val="30"/>
          <w:szCs w:val="30"/>
        </w:rPr>
      </w:pPr>
    </w:p>
    <w:p w14:paraId="4318D03A">
      <w:pPr>
        <w:pStyle w:val="2"/>
        <w:rPr>
          <w:rFonts w:hint="eastAsia" w:ascii="仿宋_GB2312" w:hAnsi="仿宋" w:eastAsia="仿宋_GB2312"/>
          <w:snapToGrid w:val="0"/>
          <w:color w:val="000000"/>
          <w:kern w:val="0"/>
          <w:sz w:val="30"/>
          <w:szCs w:val="30"/>
        </w:rPr>
      </w:pPr>
    </w:p>
    <w:p w14:paraId="3B02E7F2">
      <w:pPr>
        <w:pStyle w:val="2"/>
        <w:rPr>
          <w:rFonts w:hint="eastAsia" w:ascii="仿宋_GB2312" w:hAnsi="仿宋" w:eastAsia="仿宋_GB2312"/>
          <w:snapToGrid w:val="0"/>
          <w:color w:val="000000"/>
          <w:kern w:val="0"/>
          <w:sz w:val="30"/>
          <w:szCs w:val="30"/>
        </w:rPr>
      </w:pPr>
    </w:p>
    <w:p w14:paraId="52C04DF7">
      <w:pPr>
        <w:pStyle w:val="2"/>
        <w:rPr>
          <w:rFonts w:hint="eastAsia" w:ascii="仿宋_GB2312" w:hAnsi="仿宋" w:eastAsia="仿宋_GB2312"/>
          <w:snapToGrid w:val="0"/>
          <w:color w:val="000000"/>
          <w:kern w:val="0"/>
          <w:sz w:val="30"/>
          <w:szCs w:val="30"/>
        </w:rPr>
      </w:pPr>
    </w:p>
    <w:p w14:paraId="3DD9B036">
      <w:pPr>
        <w:pStyle w:val="2"/>
        <w:rPr>
          <w:rFonts w:hint="eastAsia" w:ascii="仿宋_GB2312" w:hAnsi="仿宋" w:eastAsia="仿宋_GB2312"/>
          <w:snapToGrid w:val="0"/>
          <w:color w:val="000000"/>
          <w:kern w:val="0"/>
          <w:sz w:val="30"/>
          <w:szCs w:val="30"/>
        </w:rPr>
      </w:pPr>
    </w:p>
    <w:p w14:paraId="74FBC14E">
      <w:pPr>
        <w:pStyle w:val="2"/>
        <w:rPr>
          <w:rFonts w:hint="eastAsia" w:ascii="仿宋_GB2312" w:hAnsi="仿宋" w:eastAsia="仿宋_GB2312"/>
          <w:snapToGrid w:val="0"/>
          <w:color w:val="000000"/>
          <w:kern w:val="0"/>
          <w:sz w:val="30"/>
          <w:szCs w:val="30"/>
        </w:rPr>
      </w:pPr>
    </w:p>
    <w:p w14:paraId="5C14A9EC">
      <w:pPr>
        <w:pStyle w:val="2"/>
        <w:rPr>
          <w:rFonts w:hint="eastAsia" w:ascii="仿宋_GB2312" w:hAnsi="仿宋" w:eastAsia="仿宋_GB2312"/>
          <w:snapToGrid w:val="0"/>
          <w:color w:val="000000"/>
          <w:kern w:val="0"/>
          <w:sz w:val="30"/>
          <w:szCs w:val="30"/>
        </w:rPr>
      </w:pPr>
    </w:p>
    <w:p w14:paraId="7C43D120">
      <w:pPr>
        <w:pStyle w:val="2"/>
        <w:rPr>
          <w:rFonts w:hint="eastAsia" w:ascii="仿宋_GB2312" w:hAnsi="仿宋" w:eastAsia="仿宋_GB2312"/>
          <w:snapToGrid w:val="0"/>
          <w:color w:val="000000"/>
          <w:kern w:val="0"/>
          <w:sz w:val="30"/>
          <w:szCs w:val="30"/>
        </w:rPr>
      </w:pPr>
    </w:p>
    <w:p w14:paraId="49E388B5">
      <w:pPr>
        <w:pStyle w:val="2"/>
        <w:rPr>
          <w:rFonts w:hint="eastAsia" w:ascii="仿宋_GB2312" w:hAnsi="仿宋" w:eastAsia="仿宋_GB2312"/>
          <w:snapToGrid w:val="0"/>
          <w:color w:val="000000"/>
          <w:kern w:val="0"/>
          <w:sz w:val="30"/>
          <w:szCs w:val="30"/>
        </w:rPr>
      </w:pPr>
    </w:p>
    <w:p w14:paraId="4BCC2A51">
      <w:pPr>
        <w:pStyle w:val="2"/>
        <w:rPr>
          <w:rFonts w:hint="eastAsia" w:ascii="仿宋_GB2312" w:hAnsi="仿宋" w:eastAsia="仿宋_GB2312"/>
          <w:snapToGrid w:val="0"/>
          <w:color w:val="000000"/>
          <w:kern w:val="0"/>
          <w:sz w:val="30"/>
          <w:szCs w:val="30"/>
        </w:rPr>
      </w:pPr>
    </w:p>
    <w:p w14:paraId="392CB82E">
      <w:pPr>
        <w:pStyle w:val="2"/>
        <w:rPr>
          <w:rFonts w:hint="eastAsia" w:ascii="仿宋_GB2312" w:hAnsi="仿宋" w:eastAsia="仿宋_GB2312"/>
          <w:snapToGrid w:val="0"/>
          <w:color w:val="000000"/>
          <w:kern w:val="0"/>
          <w:sz w:val="30"/>
          <w:szCs w:val="30"/>
        </w:rPr>
      </w:pPr>
    </w:p>
    <w:p w14:paraId="7803A57E">
      <w:pPr>
        <w:pStyle w:val="2"/>
        <w:rPr>
          <w:rFonts w:hint="eastAsia" w:ascii="仿宋_GB2312" w:hAnsi="仿宋" w:eastAsia="仿宋_GB2312"/>
          <w:snapToGrid w:val="0"/>
          <w:color w:val="000000"/>
          <w:kern w:val="0"/>
          <w:sz w:val="30"/>
          <w:szCs w:val="30"/>
        </w:rPr>
      </w:pPr>
    </w:p>
    <w:p w14:paraId="0DAF001D">
      <w:pPr>
        <w:pStyle w:val="2"/>
        <w:rPr>
          <w:rFonts w:hint="eastAsia" w:ascii="仿宋_GB2312" w:hAnsi="仿宋" w:eastAsia="仿宋_GB2312"/>
          <w:snapToGrid w:val="0"/>
          <w:color w:val="000000"/>
          <w:kern w:val="0"/>
          <w:sz w:val="30"/>
          <w:szCs w:val="30"/>
        </w:rPr>
      </w:pPr>
    </w:p>
    <w:p w14:paraId="0424FA2B">
      <w:pPr>
        <w:pStyle w:val="2"/>
        <w:ind w:left="0" w:leftChars="0" w:firstLine="0" w:firstLineChars="0"/>
        <w:rPr>
          <w:rFonts w:hint="eastAsia" w:ascii="仿宋_GB2312" w:hAnsi="仿宋" w:eastAsia="仿宋_GB2312"/>
          <w:snapToGrid w:val="0"/>
          <w:color w:val="000000"/>
          <w:kern w:val="0"/>
          <w:sz w:val="30"/>
          <w:szCs w:val="30"/>
        </w:rPr>
      </w:pPr>
    </w:p>
    <w:p w14:paraId="231DF490">
      <w:pPr>
        <w:pStyle w:val="2"/>
        <w:rPr>
          <w:rFonts w:hint="eastAsia" w:ascii="仿宋_GB2312" w:hAnsi="仿宋" w:eastAsia="仿宋_GB2312"/>
          <w:snapToGrid w:val="0"/>
          <w:color w:val="000000"/>
          <w:kern w:val="0"/>
          <w:sz w:val="30"/>
          <w:szCs w:val="30"/>
        </w:rPr>
      </w:pPr>
    </w:p>
    <w:p w14:paraId="4543D99E">
      <w:pPr>
        <w:pStyle w:val="2"/>
        <w:rPr>
          <w:rFonts w:hint="eastAsia" w:ascii="仿宋_GB2312" w:hAnsi="仿宋" w:eastAsia="仿宋_GB2312"/>
          <w:snapToGrid w:val="0"/>
          <w:color w:val="000000"/>
          <w:kern w:val="0"/>
          <w:sz w:val="30"/>
          <w:szCs w:val="30"/>
        </w:rPr>
      </w:pPr>
    </w:p>
    <w:p w14:paraId="41B6C335">
      <w:pPr>
        <w:jc w:val="left"/>
        <w:rPr>
          <w:rFonts w:hint="eastAsia" w:ascii="仿宋_GB2312" w:hAnsi="仿宋" w:eastAsia="仿宋_GB2312"/>
          <w:snapToGrid w:val="0"/>
          <w:color w:val="000000"/>
          <w:kern w:val="0"/>
          <w:sz w:val="28"/>
          <w:szCs w:val="28"/>
        </w:rPr>
      </w:pPr>
      <w:r>
        <w:rPr>
          <w:rFonts w:hint="eastAsia" w:ascii="仿宋_GB2312" w:hAnsi="仿宋" w:eastAsia="仿宋_GB2312"/>
          <w:snapToGrid w:val="0"/>
          <w:color w:val="000000"/>
          <w:kern w:val="0"/>
          <w:sz w:val="28"/>
          <w:szCs w:val="28"/>
        </w:rPr>
        <mc:AlternateContent>
          <mc:Choice Requires="wps">
            <w:drawing>
              <wp:anchor distT="0" distB="0" distL="114300" distR="114300" simplePos="0" relativeHeight="251659264" behindDoc="0" locked="0" layoutInCell="1" allowOverlap="1">
                <wp:simplePos x="0" y="0"/>
                <wp:positionH relativeFrom="column">
                  <wp:posOffset>-165735</wp:posOffset>
                </wp:positionH>
                <wp:positionV relativeFrom="paragraph">
                  <wp:posOffset>24130</wp:posOffset>
                </wp:positionV>
                <wp:extent cx="5618480" cy="0"/>
                <wp:effectExtent l="0" t="12700" r="7620" b="12700"/>
                <wp:wrapNone/>
                <wp:docPr id="2" name="直接连接符 2"/>
                <wp:cNvGraphicFramePr/>
                <a:graphic xmlns:a="http://schemas.openxmlformats.org/drawingml/2006/main">
                  <a:graphicData uri="http://schemas.microsoft.com/office/word/2010/wordprocessingShape">
                    <wps:wsp>
                      <wps:cNvCnPr/>
                      <wps:spPr>
                        <a:xfrm>
                          <a:off x="0" y="0"/>
                          <a:ext cx="5618480" cy="0"/>
                        </a:xfrm>
                        <a:prstGeom prst="line">
                          <a:avLst/>
                        </a:prstGeom>
                        <a:ln w="254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3.05pt;margin-top:1.9pt;height:0pt;width:442.4pt;z-index:251659264;mso-width-relative:page;mso-height-relative:page;" filled="f" stroked="t" coordsize="21600,21600" o:gfxdata="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2N9l7VAAAABwEAAA8AAAAAAAAAAQAgAAAAIgAAAGRycy9kb3ducmV2LnhtbFBL&#10;AQIUABQAAAAIAIdO4kDXc2vM+QEAAPMDAAAOAAAAAAAAAAEAIAAAACQBAABkcnMvZTJvRG9jLnht&#10;bFBLBQYAAAAABgAGAFkBAACPBQAAAAA=&#10;">
                <v:fill on="f" focussize="0,0"/>
                <v:stroke weight="2pt" color="#000000" joinstyle="round"/>
                <v:imagedata o:title=""/>
                <o:lock v:ext="edit" aspectratio="f"/>
              </v:line>
            </w:pict>
          </mc:Fallback>
        </mc:AlternateContent>
      </w:r>
      <w:r>
        <w:rPr>
          <w:rFonts w:hint="eastAsia" w:ascii="仿宋_GB2312" w:hAnsi="仿宋" w:eastAsia="仿宋_GB2312"/>
          <w:color w:val="000000"/>
          <w:kern w:val="0"/>
          <w:sz w:val="28"/>
          <w:szCs w:val="28"/>
        </w:rPr>
        <mc:AlternateContent>
          <mc:Choice Requires="wps">
            <w:drawing>
              <wp:anchor distT="0" distB="0" distL="114300" distR="114300" simplePos="0" relativeHeight="251660288" behindDoc="0" locked="0" layoutInCell="1" allowOverlap="1">
                <wp:simplePos x="0" y="0"/>
                <wp:positionH relativeFrom="column">
                  <wp:posOffset>-168275</wp:posOffset>
                </wp:positionH>
                <wp:positionV relativeFrom="paragraph">
                  <wp:posOffset>344805</wp:posOffset>
                </wp:positionV>
                <wp:extent cx="5618480" cy="0"/>
                <wp:effectExtent l="0" t="12700" r="7620" b="12700"/>
                <wp:wrapNone/>
                <wp:docPr id="4" name="直接连接符 4"/>
                <wp:cNvGraphicFramePr/>
                <a:graphic xmlns:a="http://schemas.openxmlformats.org/drawingml/2006/main">
                  <a:graphicData uri="http://schemas.microsoft.com/office/word/2010/wordprocessingShape">
                    <wps:wsp>
                      <wps:cNvCnPr/>
                      <wps:spPr>
                        <a:xfrm>
                          <a:off x="0" y="0"/>
                          <a:ext cx="5618480" cy="0"/>
                        </a:xfrm>
                        <a:prstGeom prst="line">
                          <a:avLst/>
                        </a:prstGeom>
                        <a:ln w="254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3.25pt;margin-top:27.15pt;height:0pt;width:442.4pt;z-index:251660288;mso-width-relative:page;mso-height-relative:page;" filled="f" stroked="t" coordsize="21600,21600" o:gfxdata="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Onf9fXAAAACQEAAA8AAAAAAAAAAQAgAAAAIgAAAGRycy9kb3ducmV2Lnht&#10;bFBLAQIUABQAAAAIAIdO4kA4mqCB+gEAAPMDAAAOAAAAAAAAAAEAIAAAACYBAABkcnMvZTJvRG9j&#10;LnhtbFBLBQYAAAAABgAGAFkBAACSBQAAAAA=&#10;">
                <v:fill on="f" focussize="0,0"/>
                <v:stroke weight="2pt" color="#000000" joinstyle="round"/>
                <v:imagedata o:title=""/>
                <o:lock v:ext="edit" aspectratio="f"/>
              </v:line>
            </w:pict>
          </mc:Fallback>
        </mc:AlternateContent>
      </w:r>
      <w:r>
        <w:rPr>
          <w:rFonts w:hint="eastAsia" w:ascii="仿宋_GB2312" w:hAnsi="仿宋" w:eastAsia="仿宋_GB2312"/>
          <w:snapToGrid w:val="0"/>
          <w:color w:val="000000"/>
          <w:kern w:val="0"/>
          <w:sz w:val="28"/>
          <w:szCs w:val="28"/>
        </w:rPr>
        <w:t>福州职业技术学院</w:t>
      </w:r>
      <w:r>
        <w:rPr>
          <w:rFonts w:hint="eastAsia" w:ascii="仿宋_GB2312" w:hAnsi="仿宋" w:eastAsia="仿宋_GB2312"/>
          <w:snapToGrid w:val="0"/>
          <w:color w:val="000000"/>
          <w:kern w:val="0"/>
          <w:sz w:val="28"/>
          <w:szCs w:val="28"/>
          <w:lang w:eastAsia="zh-CN"/>
        </w:rPr>
        <w:t>党委</w:t>
      </w:r>
      <w:r>
        <w:rPr>
          <w:rFonts w:hint="eastAsia" w:ascii="仿宋_GB2312" w:hAnsi="仿宋" w:eastAsia="仿宋_GB2312"/>
          <w:snapToGrid w:val="0"/>
          <w:color w:val="000000"/>
          <w:kern w:val="0"/>
          <w:sz w:val="28"/>
          <w:szCs w:val="28"/>
        </w:rPr>
        <w:t>宣传</w:t>
      </w:r>
      <w:r>
        <w:rPr>
          <w:rFonts w:hint="eastAsia" w:ascii="仿宋_GB2312" w:hAnsi="仿宋" w:eastAsia="仿宋_GB2312"/>
          <w:snapToGrid w:val="0"/>
          <w:color w:val="000000"/>
          <w:kern w:val="0"/>
          <w:sz w:val="28"/>
          <w:szCs w:val="28"/>
          <w:lang w:eastAsia="zh-CN"/>
        </w:rPr>
        <w:t>统战</w:t>
      </w:r>
      <w:r>
        <w:rPr>
          <w:rFonts w:hint="eastAsia" w:ascii="仿宋_GB2312" w:hAnsi="仿宋" w:eastAsia="仿宋_GB2312"/>
          <w:snapToGrid w:val="0"/>
          <w:color w:val="000000"/>
          <w:kern w:val="0"/>
          <w:sz w:val="28"/>
          <w:szCs w:val="28"/>
        </w:rPr>
        <w:t xml:space="preserve">部      </w:t>
      </w:r>
      <w:r>
        <w:rPr>
          <w:rFonts w:hint="eastAsia" w:ascii="仿宋_GB2312" w:hAnsi="仿宋" w:eastAsia="仿宋_GB2312"/>
          <w:snapToGrid w:val="0"/>
          <w:color w:val="000000"/>
          <w:kern w:val="0"/>
          <w:sz w:val="28"/>
          <w:szCs w:val="28"/>
          <w:lang w:val="en-US" w:eastAsia="zh-CN"/>
        </w:rPr>
        <w:t xml:space="preserve">    </w:t>
      </w:r>
      <w:r>
        <w:rPr>
          <w:rFonts w:hint="eastAsia" w:ascii="仿宋_GB2312" w:hAnsi="仿宋" w:eastAsia="仿宋_GB2312"/>
          <w:snapToGrid w:val="0"/>
          <w:color w:val="000000"/>
          <w:kern w:val="0"/>
          <w:sz w:val="28"/>
          <w:szCs w:val="28"/>
        </w:rPr>
        <w:t>202</w:t>
      </w:r>
      <w:r>
        <w:rPr>
          <w:rFonts w:hint="eastAsia" w:ascii="仿宋_GB2312" w:hAnsi="仿宋" w:eastAsia="仿宋_GB2312"/>
          <w:snapToGrid w:val="0"/>
          <w:color w:val="000000"/>
          <w:kern w:val="0"/>
          <w:sz w:val="28"/>
          <w:szCs w:val="28"/>
          <w:lang w:val="en-US" w:eastAsia="zh-CN"/>
        </w:rPr>
        <w:t>5</w:t>
      </w:r>
      <w:r>
        <w:rPr>
          <w:rFonts w:hint="eastAsia" w:ascii="仿宋_GB2312" w:hAnsi="仿宋" w:eastAsia="仿宋_GB2312"/>
          <w:snapToGrid w:val="0"/>
          <w:color w:val="000000"/>
          <w:kern w:val="0"/>
          <w:sz w:val="28"/>
          <w:szCs w:val="28"/>
        </w:rPr>
        <w:t>年</w:t>
      </w:r>
      <w:r>
        <w:rPr>
          <w:rFonts w:hint="eastAsia" w:ascii="仿宋_GB2312" w:hAnsi="仿宋" w:eastAsia="仿宋_GB2312"/>
          <w:snapToGrid w:val="0"/>
          <w:color w:val="000000"/>
          <w:kern w:val="0"/>
          <w:sz w:val="28"/>
          <w:szCs w:val="28"/>
          <w:lang w:val="en-US" w:eastAsia="zh-CN"/>
        </w:rPr>
        <w:t>3</w:t>
      </w:r>
      <w:r>
        <w:rPr>
          <w:rFonts w:hint="eastAsia" w:ascii="仿宋_GB2312" w:hAnsi="仿宋" w:eastAsia="仿宋_GB2312"/>
          <w:snapToGrid w:val="0"/>
          <w:color w:val="000000"/>
          <w:kern w:val="0"/>
          <w:sz w:val="28"/>
          <w:szCs w:val="28"/>
        </w:rPr>
        <w:t>月</w:t>
      </w:r>
      <w:r>
        <w:rPr>
          <w:rFonts w:hint="eastAsia" w:ascii="仿宋_GB2312" w:hAnsi="仿宋" w:eastAsia="仿宋_GB2312"/>
          <w:snapToGrid w:val="0"/>
          <w:color w:val="000000"/>
          <w:kern w:val="0"/>
          <w:sz w:val="28"/>
          <w:szCs w:val="28"/>
          <w:lang w:val="en-US" w:eastAsia="zh-CN"/>
        </w:rPr>
        <w:t xml:space="preserve"> 14</w:t>
      </w:r>
      <w:r>
        <w:rPr>
          <w:rFonts w:hint="eastAsia" w:ascii="仿宋_GB2312" w:hAnsi="仿宋" w:eastAsia="仿宋_GB2312"/>
          <w:snapToGrid w:val="0"/>
          <w:color w:val="000000"/>
          <w:kern w:val="0"/>
          <w:sz w:val="28"/>
          <w:szCs w:val="28"/>
        </w:rPr>
        <w:t>日印发</w:t>
      </w:r>
    </w:p>
    <w:p w14:paraId="77492B13">
      <w:pPr>
        <w:pStyle w:val="3"/>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ascii="宋体" w:hAnsi="宋体" w:eastAsia="宋体" w:cs="宋体"/>
          <w:kern w:val="2"/>
          <w:sz w:val="28"/>
          <w:szCs w:val="28"/>
          <w:lang w:val="zh-CN" w:eastAsia="zh-CN" w:bidi="zh-CN"/>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0708EF7-3D5C-469B-91CB-B949ADF3F81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u5b8bu4f53">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embedRegular r:id="rId2" w:fontKey="{A9C87BFE-F7F4-43FB-8499-1B64F3A7314A}"/>
  </w:font>
  <w:font w:name="方正小标宋简体">
    <w:panose1 w:val="03000509000000000000"/>
    <w:charset w:val="86"/>
    <w:family w:val="auto"/>
    <w:pitch w:val="default"/>
    <w:sig w:usb0="00000001" w:usb1="080E0000" w:usb2="00000000" w:usb3="00000000" w:csb0="00040000" w:csb1="00000000"/>
    <w:embedRegular r:id="rId3" w:fontKey="{2C227D09-DC35-436F-AB4A-C3AA826B1AA7}"/>
  </w:font>
  <w:font w:name="华文中宋">
    <w:panose1 w:val="02010600040101010101"/>
    <w:charset w:val="86"/>
    <w:family w:val="auto"/>
    <w:pitch w:val="default"/>
    <w:sig w:usb0="00000287" w:usb1="080F0000" w:usb2="00000000" w:usb3="00000000" w:csb0="0004009F" w:csb1="DFD70000"/>
    <w:embedRegular r:id="rId4" w:fontKey="{E3A23F0D-4076-4A5C-8505-BA54231D14D9}"/>
  </w:font>
  <w:font w:name="楷体_GB2312">
    <w:panose1 w:val="02010609030101010101"/>
    <w:charset w:val="86"/>
    <w:family w:val="auto"/>
    <w:pitch w:val="default"/>
    <w:sig w:usb0="00000001" w:usb1="080E0000" w:usb2="00000000" w:usb3="00000000" w:csb0="00040000" w:csb1="00000000"/>
    <w:embedRegular r:id="rId5" w:fontKey="{D48C766A-AB1F-476B-995D-A49C68419D70}"/>
  </w:font>
  <w:font w:name="仿宋">
    <w:panose1 w:val="02010609060101010101"/>
    <w:charset w:val="86"/>
    <w:family w:val="modern"/>
    <w:pitch w:val="default"/>
    <w:sig w:usb0="800002BF" w:usb1="38CF7CFA" w:usb2="00000016" w:usb3="00000000" w:csb0="00040001" w:csb1="00000000"/>
    <w:embedRegular r:id="rId6" w:fontKey="{90EDB53D-5D52-4D8D-9059-DD94399C47F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A9DB2">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435072">
                          <w:pPr>
                            <w:pStyle w:val="6"/>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7C435072">
                    <w:pPr>
                      <w:pStyle w:val="6"/>
                    </w:pPr>
                    <w:r>
                      <w:fldChar w:fldCharType="begin"/>
                    </w:r>
                    <w:r>
                      <w:instrText xml:space="preserve"> PAGE  \* MERGEFORMAT </w:instrText>
                    </w:r>
                    <w:r>
                      <w:fldChar w:fldCharType="separate"/>
                    </w:r>
                    <w:r>
                      <w:t>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F9133D">
    <w:pPr>
      <w:pStyle w:val="7"/>
      <w:pBdr>
        <w:top w:val="none" w:color="auto" w:sz="0" w:space="0"/>
        <w:left w:val="none" w:color="auto" w:sz="0" w:space="0"/>
        <w:bottom w:val="none" w:color="auto" w:sz="0" w:space="1"/>
        <w:right w:val="none" w:color="auto" w:sz="0" w:space="0"/>
        <w:between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6AD002"/>
    <w:multiLevelType w:val="singleLevel"/>
    <w:tmpl w:val="146AD00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JiMmIzMTRiYWQwMmYzZDFjNzAwOGE1ZDZiZjQ4ZmUifQ=="/>
  </w:docVars>
  <w:rsids>
    <w:rsidRoot w:val="00CA7F44"/>
    <w:rsid w:val="00026E90"/>
    <w:rsid w:val="000407BB"/>
    <w:rsid w:val="00045EB6"/>
    <w:rsid w:val="00070FDC"/>
    <w:rsid w:val="00086897"/>
    <w:rsid w:val="000D32AA"/>
    <w:rsid w:val="00104FBD"/>
    <w:rsid w:val="00126561"/>
    <w:rsid w:val="0015665E"/>
    <w:rsid w:val="00170B5C"/>
    <w:rsid w:val="001C7D7F"/>
    <w:rsid w:val="001E19A5"/>
    <w:rsid w:val="002167B9"/>
    <w:rsid w:val="002529B4"/>
    <w:rsid w:val="002553F9"/>
    <w:rsid w:val="00264A69"/>
    <w:rsid w:val="002C1835"/>
    <w:rsid w:val="002C5FE3"/>
    <w:rsid w:val="002F2E9A"/>
    <w:rsid w:val="003008EF"/>
    <w:rsid w:val="00310C00"/>
    <w:rsid w:val="0038492C"/>
    <w:rsid w:val="00461B9B"/>
    <w:rsid w:val="00467084"/>
    <w:rsid w:val="004805EA"/>
    <w:rsid w:val="00485B05"/>
    <w:rsid w:val="004D5BF0"/>
    <w:rsid w:val="004E6FB8"/>
    <w:rsid w:val="00502EE6"/>
    <w:rsid w:val="005048B7"/>
    <w:rsid w:val="005116BC"/>
    <w:rsid w:val="00514D08"/>
    <w:rsid w:val="00550B5C"/>
    <w:rsid w:val="005C6482"/>
    <w:rsid w:val="005E4007"/>
    <w:rsid w:val="005E7017"/>
    <w:rsid w:val="005F48DB"/>
    <w:rsid w:val="0060307C"/>
    <w:rsid w:val="00656500"/>
    <w:rsid w:val="006961ED"/>
    <w:rsid w:val="006F3988"/>
    <w:rsid w:val="00722407"/>
    <w:rsid w:val="00724289"/>
    <w:rsid w:val="007752A1"/>
    <w:rsid w:val="00815CA2"/>
    <w:rsid w:val="00827A71"/>
    <w:rsid w:val="0085405B"/>
    <w:rsid w:val="00857796"/>
    <w:rsid w:val="008D4C0C"/>
    <w:rsid w:val="008E7B51"/>
    <w:rsid w:val="00920BD9"/>
    <w:rsid w:val="009964BD"/>
    <w:rsid w:val="009C3A5E"/>
    <w:rsid w:val="009C3DFC"/>
    <w:rsid w:val="00A13565"/>
    <w:rsid w:val="00A17C65"/>
    <w:rsid w:val="00A40B40"/>
    <w:rsid w:val="00A41BC6"/>
    <w:rsid w:val="00A66153"/>
    <w:rsid w:val="00AE3BBC"/>
    <w:rsid w:val="00B57616"/>
    <w:rsid w:val="00C40801"/>
    <w:rsid w:val="00C73ACD"/>
    <w:rsid w:val="00CA7F44"/>
    <w:rsid w:val="00D3169F"/>
    <w:rsid w:val="00D32C3D"/>
    <w:rsid w:val="00E062C8"/>
    <w:rsid w:val="00E232F8"/>
    <w:rsid w:val="00E7137E"/>
    <w:rsid w:val="00EC579E"/>
    <w:rsid w:val="00F10C80"/>
    <w:rsid w:val="00F1315C"/>
    <w:rsid w:val="00F25825"/>
    <w:rsid w:val="00F61984"/>
    <w:rsid w:val="00F76047"/>
    <w:rsid w:val="00F96DBF"/>
    <w:rsid w:val="00FC36CB"/>
    <w:rsid w:val="032B6F50"/>
    <w:rsid w:val="088B0986"/>
    <w:rsid w:val="09871F1B"/>
    <w:rsid w:val="0BE01BDD"/>
    <w:rsid w:val="0C654743"/>
    <w:rsid w:val="0C7117A3"/>
    <w:rsid w:val="10776846"/>
    <w:rsid w:val="10D348D9"/>
    <w:rsid w:val="115B363F"/>
    <w:rsid w:val="128A3229"/>
    <w:rsid w:val="170032D8"/>
    <w:rsid w:val="17901363"/>
    <w:rsid w:val="18F31297"/>
    <w:rsid w:val="193D4FE0"/>
    <w:rsid w:val="1B9D64DA"/>
    <w:rsid w:val="1CB87339"/>
    <w:rsid w:val="1E500238"/>
    <w:rsid w:val="22635651"/>
    <w:rsid w:val="22F32E79"/>
    <w:rsid w:val="23CF0F86"/>
    <w:rsid w:val="2527505B"/>
    <w:rsid w:val="26303B37"/>
    <w:rsid w:val="26697B64"/>
    <w:rsid w:val="27BA2CF9"/>
    <w:rsid w:val="28FE074F"/>
    <w:rsid w:val="2CC95412"/>
    <w:rsid w:val="2E442CFB"/>
    <w:rsid w:val="2E5D1AEE"/>
    <w:rsid w:val="2E884DBD"/>
    <w:rsid w:val="31D70028"/>
    <w:rsid w:val="35057203"/>
    <w:rsid w:val="355359F9"/>
    <w:rsid w:val="371642B3"/>
    <w:rsid w:val="38127AAF"/>
    <w:rsid w:val="39114A44"/>
    <w:rsid w:val="3BBE31A2"/>
    <w:rsid w:val="40882C54"/>
    <w:rsid w:val="42B501A7"/>
    <w:rsid w:val="42FA7519"/>
    <w:rsid w:val="477F36B1"/>
    <w:rsid w:val="4D087DB5"/>
    <w:rsid w:val="50DC2C87"/>
    <w:rsid w:val="511F5C08"/>
    <w:rsid w:val="55BB14A1"/>
    <w:rsid w:val="55BB6F76"/>
    <w:rsid w:val="56723939"/>
    <w:rsid w:val="57415668"/>
    <w:rsid w:val="58733B38"/>
    <w:rsid w:val="596811C3"/>
    <w:rsid w:val="5A78158C"/>
    <w:rsid w:val="5B5F211F"/>
    <w:rsid w:val="5B7E10D0"/>
    <w:rsid w:val="63265E57"/>
    <w:rsid w:val="64C84E4B"/>
    <w:rsid w:val="66A870A3"/>
    <w:rsid w:val="689F3DDC"/>
    <w:rsid w:val="691E26C3"/>
    <w:rsid w:val="6CEB2185"/>
    <w:rsid w:val="6DF501DE"/>
    <w:rsid w:val="6E903BA5"/>
    <w:rsid w:val="6F667E04"/>
    <w:rsid w:val="70F56BC9"/>
    <w:rsid w:val="759E0F89"/>
    <w:rsid w:val="76B13EC5"/>
    <w:rsid w:val="77130569"/>
    <w:rsid w:val="786C7D7E"/>
    <w:rsid w:val="7B615DCF"/>
    <w:rsid w:val="7E037A3B"/>
    <w:rsid w:val="7E6A05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14"/>
    <w:autoRedefine/>
    <w:qFormat/>
    <w:uiPriority w:val="0"/>
    <w:pPr>
      <w:jc w:val="left"/>
      <w:outlineLvl w:val="0"/>
    </w:pPr>
    <w:rPr>
      <w:rFonts w:hint="eastAsia" w:ascii="宋体" w:hAnsi="宋体" w:eastAsia="宋体" w:cs="Times New Roman"/>
      <w:b/>
      <w:kern w:val="44"/>
      <w:sz w:val="48"/>
      <w:szCs w:val="48"/>
    </w:rPr>
  </w:style>
  <w:style w:type="paragraph" w:styleId="5">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autoRedefine/>
    <w:qFormat/>
    <w:uiPriority w:val="0"/>
    <w:pPr>
      <w:ind w:firstLine="420" w:firstLineChars="100"/>
    </w:pPr>
    <w:rPr>
      <w:rFonts w:ascii="Calibri" w:hAnsi="Calibri" w:eastAsia="宋体"/>
      <w:kern w:val="0"/>
      <w:sz w:val="20"/>
      <w:szCs w:val="20"/>
    </w:rPr>
  </w:style>
  <w:style w:type="paragraph" w:styleId="3">
    <w:name w:val="Body Text"/>
    <w:basedOn w:val="1"/>
    <w:next w:val="1"/>
    <w:autoRedefine/>
    <w:qFormat/>
    <w:uiPriority w:val="0"/>
    <w:pPr>
      <w:widowControl w:val="0"/>
      <w:spacing w:before="0" w:after="120"/>
      <w:ind w:left="0" w:right="0"/>
      <w:jc w:val="both"/>
    </w:pPr>
    <w:rPr>
      <w:rFonts w:ascii="Calibri" w:hAnsi="Calibri" w:eastAsia="宋体" w:cs="Times New Roman"/>
      <w:kern w:val="2"/>
      <w:sz w:val="21"/>
      <w:szCs w:val="24"/>
      <w:lang w:val="en-US" w:eastAsia="zh-CN" w:bidi="ar-SA"/>
    </w:rPr>
  </w:style>
  <w:style w:type="paragraph" w:styleId="6">
    <w:name w:val="footer"/>
    <w:basedOn w:val="1"/>
    <w:link w:val="13"/>
    <w:autoRedefine/>
    <w:unhideWhenUsed/>
    <w:qFormat/>
    <w:uiPriority w:val="99"/>
    <w:pPr>
      <w:tabs>
        <w:tab w:val="center" w:pos="4153"/>
        <w:tab w:val="right" w:pos="8306"/>
      </w:tabs>
      <w:snapToGrid w:val="0"/>
      <w:jc w:val="left"/>
    </w:pPr>
    <w:rPr>
      <w:sz w:val="18"/>
      <w:szCs w:val="18"/>
    </w:rPr>
  </w:style>
  <w:style w:type="paragraph" w:styleId="7">
    <w:name w:val="header"/>
    <w:basedOn w:val="1"/>
    <w:link w:val="1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next w:val="6"/>
    <w:autoRedefine/>
    <w:unhideWhenUsed/>
    <w:qFormat/>
    <w:uiPriority w:val="99"/>
    <w:pPr>
      <w:widowControl/>
      <w:adjustRightInd w:val="0"/>
      <w:snapToGrid w:val="0"/>
      <w:spacing w:before="100" w:beforeAutospacing="1" w:after="100" w:afterAutospacing="1" w:line="15" w:lineRule="atLeast"/>
      <w:jc w:val="left"/>
    </w:pPr>
    <w:rPr>
      <w:rFonts w:ascii="u5b8bu4f53" w:hAnsi="u5b8bu4f53" w:eastAsia="u5b8bu4f53"/>
      <w:color w:val="696969"/>
      <w:kern w:val="0"/>
      <w:szCs w:val="21"/>
    </w:rPr>
  </w:style>
  <w:style w:type="character" w:styleId="11">
    <w:name w:val="Strong"/>
    <w:basedOn w:val="10"/>
    <w:qFormat/>
    <w:uiPriority w:val="22"/>
    <w:rPr>
      <w:b/>
    </w:rPr>
  </w:style>
  <w:style w:type="character" w:customStyle="1" w:styleId="12">
    <w:name w:val="页眉 字符"/>
    <w:basedOn w:val="10"/>
    <w:link w:val="7"/>
    <w:autoRedefine/>
    <w:qFormat/>
    <w:uiPriority w:val="99"/>
    <w:rPr>
      <w:sz w:val="18"/>
      <w:szCs w:val="18"/>
    </w:rPr>
  </w:style>
  <w:style w:type="character" w:customStyle="1" w:styleId="13">
    <w:name w:val="页脚 字符"/>
    <w:basedOn w:val="10"/>
    <w:link w:val="6"/>
    <w:autoRedefine/>
    <w:qFormat/>
    <w:uiPriority w:val="99"/>
    <w:rPr>
      <w:sz w:val="18"/>
      <w:szCs w:val="18"/>
    </w:rPr>
  </w:style>
  <w:style w:type="character" w:customStyle="1" w:styleId="14">
    <w:name w:val="标题 1 字符"/>
    <w:basedOn w:val="10"/>
    <w:link w:val="4"/>
    <w:autoRedefine/>
    <w:qFormat/>
    <w:uiPriority w:val="0"/>
    <w:rPr>
      <w:rFonts w:ascii="宋体" w:hAnsi="宋体" w:eastAsia="宋体" w:cs="Times New Roman"/>
      <w:b/>
      <w:kern w:val="44"/>
      <w:sz w:val="48"/>
      <w:szCs w:val="48"/>
    </w:rPr>
  </w:style>
  <w:style w:type="paragraph" w:customStyle="1" w:styleId="15">
    <w:name w:val="arti_metas"/>
    <w:basedOn w:val="1"/>
    <w:autoRedefine/>
    <w:qFormat/>
    <w:uiPriority w:val="0"/>
    <w:pPr>
      <w:jc w:val="center"/>
    </w:pPr>
    <w:rPr>
      <w:rFonts w:ascii="Times New Roman" w:hAnsi="Times New Roman" w:eastAsia="宋体" w:cs="Times New Roman"/>
      <w:kern w:val="0"/>
      <w:szCs w:val="24"/>
    </w:rPr>
  </w:style>
  <w:style w:type="paragraph" w:customStyle="1" w:styleId="16">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1773</Words>
  <Characters>1798</Characters>
  <Lines>13</Lines>
  <Paragraphs>3</Paragraphs>
  <TotalTime>4</TotalTime>
  <ScaleCrop>false</ScaleCrop>
  <LinksUpToDate>false</LinksUpToDate>
  <CharactersWithSpaces>1923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2021-01-16T08:40:00Z</dcterms:created>
  <dc:creator>admin</dc:creator>
  <cp:lastModifiedBy>王莉</cp:lastModifiedBy>
  <cp:lastPrinted>2024-03-06T07:00:00Z</cp:lastPrinted>
  <dcterms:modified xsi:type="dcterms:W3CDTF">2025-03-14T07:11:12Z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C71E7A9807014ADAA07BC0248D6C9833</vt:lpwstr>
  </property>
  <property fmtid="{D5CDD505-2E9C-101B-9397-08002B2CF9AE}" pid="4" name="KSOTemplateDocerSaveRecord">
    <vt:lpwstr>eyJoZGlkIjoiNDlmYzRmYzJmZjE3ZmIwZTYyNmQ3NGY2NDFmZjcyNGUiLCJ1c2VySWQiOiIxNjY0NTgyNDMwIn0=</vt:lpwstr>
  </property>
</Properties>
</file>