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466EAA" w:rsidRDefault="00D330EA">
      <w:pPr>
        <w:pStyle w:val="a6"/>
        <w:spacing w:before="0" w:beforeAutospacing="0" w:after="0" w:afterAutospacing="0" w:line="480" w:lineRule="auto"/>
        <w:jc w:val="center"/>
        <w:rPr>
          <w:rFonts w:ascii="仿宋_GB2312" w:eastAsia="仿宋_GB2312" w:hAnsi="华文中宋"/>
          <w:b/>
          <w:color w:val="FF0000"/>
          <w:sz w:val="72"/>
          <w:szCs w:val="72"/>
        </w:rPr>
      </w:pPr>
      <w:r>
        <w:rPr>
          <w:rFonts w:ascii="仿宋_GB2312" w:eastAsia="仿宋_GB2312" w:hAnsi="华文中宋"/>
          <w:b/>
          <w:color w:val="FF0000"/>
          <w:spacing w:val="40"/>
          <w:w w:val="80"/>
          <w:sz w:val="72"/>
          <w:szCs w:val="72"/>
        </w:rPr>
        <w:t>福州</w:t>
      </w:r>
      <w:r>
        <w:rPr>
          <w:rFonts w:ascii="仿宋_GB2312" w:eastAsia="仿宋_GB2312"/>
          <w:b/>
          <w:color w:val="FF0000"/>
          <w:spacing w:val="40"/>
          <w:w w:val="80"/>
          <w:sz w:val="72"/>
          <w:szCs w:val="72"/>
        </w:rPr>
        <w:t>职业</w:t>
      </w:r>
      <w:r>
        <w:rPr>
          <w:rFonts w:ascii="仿宋_GB2312" w:eastAsia="仿宋_GB2312" w:hAnsi="Dotum" w:cs="Dotum"/>
          <w:b/>
          <w:color w:val="FF0000"/>
          <w:spacing w:val="40"/>
          <w:w w:val="80"/>
          <w:sz w:val="72"/>
          <w:szCs w:val="72"/>
        </w:rPr>
        <w:t>技</w:t>
      </w:r>
      <w:r>
        <w:rPr>
          <w:rFonts w:ascii="仿宋_GB2312" w:eastAsia="仿宋_GB2312"/>
          <w:b/>
          <w:color w:val="FF0000"/>
          <w:spacing w:val="40"/>
          <w:w w:val="80"/>
          <w:sz w:val="72"/>
          <w:szCs w:val="72"/>
        </w:rPr>
        <w:t>术学</w:t>
      </w:r>
      <w:r>
        <w:rPr>
          <w:rFonts w:ascii="仿宋_GB2312" w:eastAsia="仿宋_GB2312" w:hAnsi="华文中宋"/>
          <w:b/>
          <w:color w:val="FF0000"/>
          <w:spacing w:val="-100"/>
          <w:w w:val="80"/>
          <w:sz w:val="72"/>
          <w:szCs w:val="72"/>
        </w:rPr>
        <w:t>院</w:t>
      </w:r>
      <w:r>
        <w:rPr>
          <w:rFonts w:ascii="仿宋_GB2312" w:eastAsia="仿宋_GB2312" w:hAnsi="华文中宋"/>
          <w:b/>
          <w:color w:val="FF0000"/>
          <w:sz w:val="72"/>
          <w:szCs w:val="72"/>
        </w:rPr>
        <w:t>（</w:t>
      </w:r>
      <w:r>
        <w:rPr>
          <w:rFonts w:ascii="仿宋_GB2312" w:eastAsia="仿宋_GB2312"/>
          <w:b/>
          <w:sz w:val="32"/>
          <w:szCs w:val="32"/>
        </w:rPr>
        <w:t xml:space="preserve">教 </w:t>
      </w:r>
      <w:proofErr w:type="gramStart"/>
      <w:r>
        <w:rPr>
          <w:rFonts w:ascii="仿宋_GB2312" w:eastAsia="仿宋_GB2312"/>
          <w:b/>
          <w:sz w:val="32"/>
          <w:szCs w:val="32"/>
        </w:rPr>
        <w:t>务</w:t>
      </w:r>
      <w:proofErr w:type="gramEnd"/>
      <w:r>
        <w:rPr>
          <w:rFonts w:ascii="仿宋_GB2312" w:eastAsia="仿宋_GB2312"/>
          <w:b/>
          <w:sz w:val="32"/>
          <w:szCs w:val="32"/>
        </w:rPr>
        <w:t xml:space="preserve"> 处</w:t>
      </w:r>
      <w:r>
        <w:rPr>
          <w:rFonts w:ascii="仿宋_GB2312" w:eastAsia="仿宋_GB2312" w:hAnsi="华文中宋"/>
          <w:b/>
          <w:color w:val="FF0000"/>
          <w:sz w:val="72"/>
          <w:szCs w:val="72"/>
        </w:rPr>
        <w:t>）</w:t>
      </w:r>
    </w:p>
    <w:p w:rsidR="00466EAA" w:rsidRDefault="001866C2">
      <w:pPr>
        <w:pStyle w:val="a6"/>
        <w:spacing w:afterAutospacing="0" w:line="400" w:lineRule="exact"/>
        <w:jc w:val="center"/>
        <w:rPr>
          <w:rFonts w:ascii="仿宋_GB2312" w:eastAsia="仿宋_GB2312" w:hAnsiTheme="minorEastAsia" w:cstheme="minorEastAsia"/>
          <w:sz w:val="28"/>
          <w:szCs w:val="28"/>
        </w:rPr>
      </w:pPr>
      <w:r>
        <w:rPr>
          <w:rFonts w:ascii="仿宋_GB2312" w:eastAsia="仿宋_GB2312" w:hAnsiTheme="minorEastAsia" w:cstheme="minorEastAsia"/>
          <w:sz w:val="28"/>
          <w:szCs w:val="28"/>
        </w:rPr>
        <w:pict>
          <v:line id="直线 2" o:spid="_x0000_s1026" style="position:absolute;left:0;text-align:left;z-index:251660288" from="0,41.65pt" to="441pt,41.8pt" o:gfxdata="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y/KJzUAAAABgEAAA8AAAAAAAAAAQAgAAAAIgAAAGRycy9kb3ducmV2LnhtbFBLAQIUABQAAAAI&#10;AIdO4kAlf+xI8QEAAO0DAAAOAAAAAAAAAAEAIAAAACMBAABkcnMvZTJvRG9jLnhtbFBLBQYAAAAA&#10;BgAGAFkBAACGBQAAAAA=&#10;" strokecolor="red" strokeweight="2.25pt"/>
        </w:pict>
      </w:r>
      <w:proofErr w:type="gramStart"/>
      <w:r w:rsidR="00D330EA">
        <w:rPr>
          <w:rFonts w:ascii="仿宋_GB2312" w:eastAsia="仿宋_GB2312" w:hAnsiTheme="minorEastAsia" w:cstheme="minorEastAsia"/>
          <w:sz w:val="28"/>
          <w:szCs w:val="28"/>
        </w:rPr>
        <w:t>榕</w:t>
      </w:r>
      <w:proofErr w:type="gramEnd"/>
      <w:r w:rsidR="00D330EA">
        <w:rPr>
          <w:rFonts w:ascii="仿宋_GB2312" w:eastAsia="仿宋_GB2312" w:hAnsiTheme="minorEastAsia" w:cstheme="minorEastAsia"/>
          <w:sz w:val="28"/>
          <w:szCs w:val="28"/>
        </w:rPr>
        <w:t>职院教务〔2024〕</w:t>
      </w:r>
      <w:r w:rsidR="00D330EA">
        <w:rPr>
          <w:rFonts w:ascii="仿宋_GB2312" w:eastAsia="仿宋_GB2312" w:hAnsiTheme="minorEastAsia" w:cstheme="minorEastAsia" w:hint="eastAsia"/>
          <w:sz w:val="28"/>
          <w:szCs w:val="28"/>
        </w:rPr>
        <w:t xml:space="preserve"> </w:t>
      </w:r>
      <w:r w:rsidR="00EC2538">
        <w:rPr>
          <w:rFonts w:ascii="仿宋_GB2312" w:eastAsia="仿宋_GB2312" w:hAnsiTheme="minorEastAsia" w:cstheme="minorEastAsia" w:hint="eastAsia"/>
          <w:sz w:val="28"/>
          <w:szCs w:val="28"/>
        </w:rPr>
        <w:t>26</w:t>
      </w:r>
      <w:r w:rsidR="00D330EA">
        <w:rPr>
          <w:rFonts w:ascii="仿宋_GB2312" w:eastAsia="仿宋_GB2312" w:hAnsiTheme="minorEastAsia" w:cstheme="minorEastAsia" w:hint="eastAsia"/>
          <w:sz w:val="28"/>
          <w:szCs w:val="28"/>
        </w:rPr>
        <w:t xml:space="preserve"> </w:t>
      </w:r>
      <w:r w:rsidR="00D330EA">
        <w:rPr>
          <w:rFonts w:ascii="仿宋_GB2312" w:eastAsia="仿宋_GB2312" w:hAnsiTheme="minorEastAsia" w:cstheme="minorEastAsia"/>
          <w:sz w:val="28"/>
          <w:szCs w:val="28"/>
        </w:rPr>
        <w:t>号</w:t>
      </w:r>
    </w:p>
    <w:p w:rsidR="00466EAA" w:rsidRPr="00396D98" w:rsidRDefault="00D330EA">
      <w:pPr>
        <w:widowControl/>
        <w:shd w:val="clear" w:color="auto" w:fill="FDFDFE"/>
        <w:spacing w:line="600" w:lineRule="auto"/>
        <w:jc w:val="center"/>
        <w:rPr>
          <w:rFonts w:ascii="方正小标宋简体" w:eastAsia="方正小标宋简体" w:hAnsi="方正小标宋简体" w:cs="方正小标宋简体"/>
          <w:kern w:val="0"/>
          <w:sz w:val="32"/>
          <w:szCs w:val="32"/>
        </w:rPr>
      </w:pPr>
      <w:r w:rsidRPr="00396D98">
        <w:rPr>
          <w:rFonts w:ascii="方正小标宋简体" w:eastAsia="方正小标宋简体" w:hAnsi="方正小标宋简体" w:cs="方正小标宋简体" w:hint="eastAsia"/>
          <w:b/>
          <w:bCs/>
          <w:kern w:val="0"/>
          <w:sz w:val="32"/>
          <w:szCs w:val="32"/>
        </w:rPr>
        <w:t>关于进一步规范教学秩序的通知</w:t>
      </w:r>
    </w:p>
    <w:p w:rsidR="00466EAA" w:rsidRDefault="00D330EA">
      <w:pPr>
        <w:widowControl/>
        <w:shd w:val="clear" w:color="auto" w:fill="FDFDFE"/>
        <w:spacing w:before="210" w:line="400" w:lineRule="exact"/>
        <w:jc w:val="left"/>
        <w:rPr>
          <w:rFonts w:ascii="仿宋_GB2312" w:eastAsia="仿宋_GB2312" w:hAnsi="仿宋"/>
          <w:snapToGrid w:val="0"/>
          <w:color w:val="000000"/>
          <w:kern w:val="0"/>
          <w:sz w:val="28"/>
          <w:szCs w:val="28"/>
        </w:rPr>
      </w:pPr>
      <w:r>
        <w:rPr>
          <w:rFonts w:ascii="仿宋_GB2312" w:eastAsia="仿宋_GB2312" w:hAnsi="仿宋"/>
          <w:snapToGrid w:val="0"/>
          <w:color w:val="000000"/>
          <w:kern w:val="0"/>
          <w:sz w:val="28"/>
          <w:szCs w:val="28"/>
        </w:rPr>
        <w:t>各</w:t>
      </w:r>
      <w:r>
        <w:rPr>
          <w:rFonts w:ascii="仿宋_GB2312" w:eastAsia="仿宋_GB2312" w:hAnsi="仿宋" w:hint="eastAsia"/>
          <w:snapToGrid w:val="0"/>
          <w:color w:val="000000"/>
          <w:kern w:val="0"/>
          <w:sz w:val="28"/>
          <w:szCs w:val="28"/>
        </w:rPr>
        <w:t>学院</w:t>
      </w:r>
      <w:r>
        <w:rPr>
          <w:rFonts w:ascii="仿宋_GB2312" w:eastAsia="仿宋_GB2312" w:hAnsi="仿宋"/>
          <w:snapToGrid w:val="0"/>
          <w:color w:val="000000"/>
          <w:kern w:val="0"/>
          <w:sz w:val="28"/>
          <w:szCs w:val="28"/>
        </w:rPr>
        <w:t>：</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snapToGrid w:val="0"/>
          <w:color w:val="000000"/>
          <w:kern w:val="0"/>
          <w:sz w:val="28"/>
          <w:szCs w:val="28"/>
        </w:rPr>
        <w:t>为营造良好的教学环境，提高教学质量，确保教学秩序的有序进行，现就进一步规范教学秩序发出如下通知：</w:t>
      </w:r>
    </w:p>
    <w:p w:rsidR="00466EAA" w:rsidRDefault="00D330EA">
      <w:pPr>
        <w:widowControl/>
        <w:shd w:val="clear" w:color="auto" w:fill="FDFDFE"/>
        <w:spacing w:before="210" w:line="400" w:lineRule="exact"/>
        <w:ind w:firstLineChars="200" w:firstLine="562"/>
        <w:jc w:val="left"/>
        <w:rPr>
          <w:rFonts w:ascii="仿宋_GB2312" w:eastAsia="仿宋_GB2312" w:hAnsi="仿宋"/>
          <w:b/>
          <w:bCs/>
          <w:snapToGrid w:val="0"/>
          <w:color w:val="000000"/>
          <w:kern w:val="0"/>
          <w:sz w:val="28"/>
          <w:szCs w:val="28"/>
        </w:rPr>
      </w:pPr>
      <w:r>
        <w:rPr>
          <w:rFonts w:ascii="仿宋_GB2312" w:eastAsia="仿宋_GB2312" w:hAnsi="仿宋" w:hint="eastAsia"/>
          <w:b/>
          <w:bCs/>
          <w:snapToGrid w:val="0"/>
          <w:color w:val="000000"/>
          <w:kern w:val="0"/>
          <w:sz w:val="28"/>
          <w:szCs w:val="28"/>
        </w:rPr>
        <w:t>一、全校师生要提高认识，齐抓共管，形成良好的校风、教风和学风</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（一）教学秩序是影响教学质量的关键环节。全体教师和教学管理人员要统一认识，清醒认识教学秩序与教学质量的关系，增强服务意识和质量意识。</w:t>
      </w:r>
    </w:p>
    <w:p w:rsidR="00466EAA" w:rsidRDefault="00D330EA">
      <w:pPr>
        <w:pStyle w:val="a6"/>
        <w:spacing w:before="0" w:beforeAutospacing="0" w:after="0" w:afterAutospacing="0" w:line="400" w:lineRule="exact"/>
        <w:ind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（二）各学院要从教学管理实际出发，齐抓共管，把加强教学秩序管理作为教学工作的重点来抓，营造良好的教学秩序与育人环境，促进学风、教风的根本好转。</w:t>
      </w:r>
    </w:p>
    <w:p w:rsidR="00466EAA" w:rsidRDefault="00D330EA">
      <w:pPr>
        <w:widowControl/>
        <w:shd w:val="clear" w:color="auto" w:fill="FDFDFE"/>
        <w:spacing w:before="210" w:line="400" w:lineRule="exact"/>
        <w:ind w:firstLineChars="200" w:firstLine="562"/>
        <w:jc w:val="left"/>
        <w:rPr>
          <w:rFonts w:ascii="仿宋_GB2312" w:eastAsia="仿宋_GB2312" w:hAnsi="仿宋"/>
          <w:b/>
          <w:bCs/>
          <w:snapToGrid w:val="0"/>
          <w:color w:val="000000"/>
          <w:kern w:val="0"/>
          <w:sz w:val="28"/>
          <w:szCs w:val="28"/>
        </w:rPr>
      </w:pPr>
      <w:r>
        <w:rPr>
          <w:rFonts w:ascii="仿宋_GB2312" w:eastAsia="仿宋_GB2312" w:hAnsi="仿宋" w:hint="eastAsia"/>
          <w:b/>
          <w:bCs/>
          <w:snapToGrid w:val="0"/>
          <w:color w:val="000000"/>
          <w:kern w:val="0"/>
          <w:sz w:val="28"/>
          <w:szCs w:val="28"/>
        </w:rPr>
        <w:t>二、采取有力措施，加强教学秩序</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（一）</w:t>
      </w:r>
      <w:r>
        <w:rPr>
          <w:rFonts w:ascii="仿宋_GB2312" w:eastAsia="仿宋_GB2312" w:hAnsi="仿宋"/>
          <w:snapToGrid w:val="0"/>
          <w:color w:val="000000"/>
          <w:kern w:val="0"/>
          <w:sz w:val="28"/>
          <w:szCs w:val="28"/>
        </w:rPr>
        <w:t>加强课堂教学管理</w:t>
      </w:r>
    </w:p>
    <w:p w:rsidR="00466EAA" w:rsidRDefault="00D330EA">
      <w:pPr>
        <w:widowControl/>
        <w:shd w:val="clear" w:color="auto" w:fill="FDFDFE"/>
        <w:spacing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1.</w:t>
      </w:r>
      <w:r>
        <w:rPr>
          <w:rFonts w:ascii="仿宋_GB2312" w:eastAsia="仿宋_GB2312" w:hAnsi="仿宋"/>
          <w:snapToGrid w:val="0"/>
          <w:color w:val="000000"/>
          <w:kern w:val="0"/>
          <w:sz w:val="28"/>
          <w:szCs w:val="28"/>
        </w:rPr>
        <w:t>教师应严格遵守教学时间，不得迟到、早退或擅自调课。如有特殊情况需调整课程安排，应提前向所在教学单位提出申请，经批准后方可执行。</w:t>
      </w:r>
    </w:p>
    <w:p w:rsidR="00466EAA" w:rsidRDefault="00D330EA">
      <w:pPr>
        <w:widowControl/>
        <w:shd w:val="clear" w:color="auto" w:fill="FDFDFE"/>
        <w:spacing w:before="9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2. 教师是课堂教学的第一责任人，应对课堂纪律、课堂教学内容、课堂教学质量全面负责。</w:t>
      </w:r>
      <w:r>
        <w:rPr>
          <w:rFonts w:ascii="仿宋_GB2312" w:eastAsia="仿宋_GB2312" w:hAnsi="仿宋"/>
          <w:snapToGrid w:val="0"/>
          <w:color w:val="000000"/>
          <w:kern w:val="0"/>
          <w:sz w:val="28"/>
          <w:szCs w:val="28"/>
        </w:rPr>
        <w:t>教师应保持课堂纪律，以免影响教学质量。对于不遵守课堂纪律的学生，教师应及时予以纠正并记录在案。</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3.教师应严格遵守学院关于课堂教学的规定，按时上下课；不得无故缺课、调课、由他人代课，确实需要调课、代课的，必须按规定履行手续。</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4.教师应严格按照教师教学工作规范，认真备课、讲课，保证课堂教学质量。</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lastRenderedPageBreak/>
        <w:t xml:space="preserve">5. </w:t>
      </w:r>
      <w:r w:rsidR="00EC2538">
        <w:rPr>
          <w:rFonts w:ascii="仿宋_GB2312" w:eastAsia="仿宋_GB2312" w:hAnsi="仿宋" w:hint="eastAsia"/>
          <w:snapToGrid w:val="0"/>
          <w:color w:val="000000"/>
          <w:kern w:val="0"/>
          <w:sz w:val="28"/>
          <w:szCs w:val="28"/>
        </w:rPr>
        <w:t>教师</w:t>
      </w:r>
      <w:r>
        <w:rPr>
          <w:rFonts w:ascii="仿宋_GB2312" w:eastAsia="仿宋_GB2312" w:hAnsi="仿宋" w:hint="eastAsia"/>
          <w:snapToGrid w:val="0"/>
          <w:color w:val="000000"/>
          <w:kern w:val="0"/>
          <w:sz w:val="28"/>
          <w:szCs w:val="28"/>
        </w:rPr>
        <w:t>应提前十分钟进入教室，做好教具准备或多媒体设备调试等上课准备工作。使用多媒体设备的教师同时应携带教案，不得因停电或</w:t>
      </w:r>
      <w:r w:rsidR="00EC2538">
        <w:rPr>
          <w:rFonts w:ascii="仿宋_GB2312" w:eastAsia="仿宋_GB2312" w:hAnsi="仿宋" w:hint="eastAsia"/>
          <w:snapToGrid w:val="0"/>
          <w:color w:val="000000"/>
          <w:kern w:val="0"/>
          <w:sz w:val="28"/>
          <w:szCs w:val="28"/>
        </w:rPr>
        <w:t>电子</w:t>
      </w:r>
      <w:r>
        <w:rPr>
          <w:rFonts w:ascii="仿宋_GB2312" w:eastAsia="仿宋_GB2312" w:hAnsi="仿宋" w:hint="eastAsia"/>
          <w:snapToGrid w:val="0"/>
          <w:color w:val="000000"/>
          <w:kern w:val="0"/>
          <w:sz w:val="28"/>
          <w:szCs w:val="28"/>
        </w:rPr>
        <w:t>设备出现故障而影响正常教学。</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（二）排课规范管理</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各学院需严格按照《福州职业技术学院排课、调停补课、代课及授课场地调整管理办法（修订）》（</w:t>
      </w:r>
      <w:proofErr w:type="gramStart"/>
      <w:r>
        <w:rPr>
          <w:rFonts w:ascii="仿宋_GB2312" w:eastAsia="仿宋_GB2312" w:hAnsi="仿宋" w:hint="eastAsia"/>
          <w:snapToGrid w:val="0"/>
          <w:color w:val="000000"/>
          <w:kern w:val="0"/>
          <w:sz w:val="28"/>
          <w:szCs w:val="28"/>
        </w:rPr>
        <w:t>榕</w:t>
      </w:r>
      <w:proofErr w:type="gramEnd"/>
      <w:r>
        <w:rPr>
          <w:rFonts w:ascii="仿宋_GB2312" w:eastAsia="仿宋_GB2312" w:hAnsi="仿宋" w:hint="eastAsia"/>
          <w:snapToGrid w:val="0"/>
          <w:color w:val="000000"/>
          <w:kern w:val="0"/>
          <w:sz w:val="28"/>
          <w:szCs w:val="28"/>
        </w:rPr>
        <w:t>职院教务</w:t>
      </w:r>
      <w:r>
        <w:rPr>
          <w:rFonts w:ascii="仿宋_GB2312" w:eastAsia="仿宋_GB2312" w:hAnsi="仿宋"/>
          <w:snapToGrid w:val="0"/>
          <w:color w:val="000000"/>
          <w:sz w:val="28"/>
          <w:szCs w:val="28"/>
        </w:rPr>
        <w:t>〔201</w:t>
      </w:r>
      <w:r>
        <w:rPr>
          <w:rFonts w:ascii="仿宋_GB2312" w:eastAsia="仿宋_GB2312" w:hAnsi="仿宋" w:hint="eastAsia"/>
          <w:snapToGrid w:val="0"/>
          <w:color w:val="000000"/>
          <w:sz w:val="28"/>
          <w:szCs w:val="28"/>
        </w:rPr>
        <w:t>9</w:t>
      </w:r>
      <w:r>
        <w:rPr>
          <w:rFonts w:ascii="仿宋_GB2312" w:eastAsia="仿宋_GB2312" w:hAnsi="仿宋"/>
          <w:snapToGrid w:val="0"/>
          <w:color w:val="000000"/>
          <w:sz w:val="28"/>
          <w:szCs w:val="28"/>
        </w:rPr>
        <w:t>〕</w:t>
      </w:r>
      <w:r>
        <w:rPr>
          <w:rFonts w:ascii="仿宋_GB2312" w:eastAsia="仿宋_GB2312" w:hAnsi="仿宋" w:hint="eastAsia"/>
          <w:snapToGrid w:val="0"/>
          <w:color w:val="000000"/>
          <w:kern w:val="0"/>
          <w:sz w:val="28"/>
          <w:szCs w:val="28"/>
        </w:rPr>
        <w:t>28号）执行。特此强调以下几点：</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1.</w:t>
      </w:r>
      <w:r>
        <w:rPr>
          <w:rFonts w:ascii="仿宋_GB2312" w:eastAsia="仿宋_GB2312" w:hAnsi="仿宋"/>
          <w:snapToGrid w:val="0"/>
          <w:color w:val="000000"/>
          <w:kern w:val="0"/>
          <w:sz w:val="28"/>
          <w:szCs w:val="28"/>
        </w:rPr>
        <w:t>每学期班级课表平均周课时、</w:t>
      </w:r>
      <w:proofErr w:type="gramStart"/>
      <w:r>
        <w:rPr>
          <w:rFonts w:ascii="仿宋_GB2312" w:eastAsia="仿宋_GB2312" w:hAnsi="仿宋"/>
          <w:snapToGrid w:val="0"/>
          <w:color w:val="000000"/>
          <w:kern w:val="0"/>
          <w:sz w:val="28"/>
          <w:szCs w:val="28"/>
        </w:rPr>
        <w:t>教师周</w:t>
      </w:r>
      <w:proofErr w:type="gramEnd"/>
      <w:r>
        <w:rPr>
          <w:rFonts w:ascii="仿宋_GB2312" w:eastAsia="仿宋_GB2312" w:hAnsi="仿宋"/>
          <w:snapToGrid w:val="0"/>
          <w:color w:val="000000"/>
          <w:kern w:val="0"/>
          <w:sz w:val="28"/>
          <w:szCs w:val="28"/>
        </w:rPr>
        <w:t>课时等均有明确限制，同一个班级同一门课程</w:t>
      </w:r>
      <w:r>
        <w:rPr>
          <w:rFonts w:ascii="仿宋_GB2312" w:eastAsia="仿宋_GB2312" w:hAnsi="仿宋" w:hint="eastAsia"/>
          <w:snapToGrid w:val="0"/>
          <w:color w:val="000000"/>
          <w:kern w:val="0"/>
          <w:sz w:val="28"/>
          <w:szCs w:val="28"/>
        </w:rPr>
        <w:t>原则上</w:t>
      </w:r>
      <w:r>
        <w:rPr>
          <w:rFonts w:ascii="仿宋_GB2312" w:eastAsia="仿宋_GB2312" w:hAnsi="仿宋"/>
          <w:snapToGrid w:val="0"/>
          <w:color w:val="000000"/>
          <w:kern w:val="0"/>
          <w:sz w:val="28"/>
          <w:szCs w:val="28"/>
        </w:rPr>
        <w:t>不能四节连排。</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2.中午、周三下午及周末不排课，上午不安排三节连排。</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3.</w:t>
      </w:r>
      <w:r>
        <w:rPr>
          <w:rFonts w:ascii="仿宋_GB2312" w:eastAsia="仿宋_GB2312" w:hAnsi="仿宋"/>
          <w:snapToGrid w:val="0"/>
          <w:color w:val="000000"/>
          <w:kern w:val="0"/>
          <w:sz w:val="28"/>
          <w:szCs w:val="28"/>
        </w:rPr>
        <w:t xml:space="preserve"> 严格执行课表，未经审批不得擅自调整。</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4.</w:t>
      </w:r>
      <w:r>
        <w:rPr>
          <w:rFonts w:ascii="仿宋_GB2312" w:eastAsia="仿宋_GB2312" w:hAnsi="仿宋"/>
          <w:snapToGrid w:val="0"/>
          <w:color w:val="000000"/>
          <w:kern w:val="0"/>
          <w:sz w:val="28"/>
          <w:szCs w:val="28"/>
        </w:rPr>
        <w:t>特殊需求的排课，需经专业（教研室）主任、</w:t>
      </w:r>
      <w:r>
        <w:rPr>
          <w:rFonts w:ascii="仿宋_GB2312" w:eastAsia="仿宋_GB2312" w:hAnsi="仿宋" w:hint="eastAsia"/>
          <w:snapToGrid w:val="0"/>
          <w:color w:val="000000"/>
          <w:kern w:val="0"/>
          <w:sz w:val="28"/>
          <w:szCs w:val="28"/>
        </w:rPr>
        <w:t>院长</w:t>
      </w:r>
      <w:r>
        <w:rPr>
          <w:rFonts w:ascii="仿宋_GB2312" w:eastAsia="仿宋_GB2312" w:hAnsi="仿宋"/>
          <w:snapToGrid w:val="0"/>
          <w:color w:val="000000"/>
          <w:kern w:val="0"/>
          <w:sz w:val="28"/>
          <w:szCs w:val="28"/>
        </w:rPr>
        <w:t>等审批，并报教务处备案。</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（三）做好学籍预警管理</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hint="eastAsia"/>
          <w:snapToGrid w:val="0"/>
          <w:color w:val="000000"/>
          <w:kern w:val="0"/>
          <w:sz w:val="28"/>
          <w:szCs w:val="28"/>
        </w:rPr>
        <w:t>1.</w:t>
      </w:r>
      <w:r>
        <w:rPr>
          <w:rFonts w:ascii="仿宋_GB2312" w:eastAsia="仿宋_GB2312" w:hAnsi="仿宋"/>
          <w:snapToGrid w:val="0"/>
          <w:color w:val="000000"/>
          <w:kern w:val="0"/>
          <w:sz w:val="28"/>
          <w:szCs w:val="28"/>
        </w:rPr>
        <w:t>根据《福州职业技术学院学籍管理实施办法（试行）》（</w:t>
      </w:r>
      <w:proofErr w:type="gramStart"/>
      <w:r>
        <w:rPr>
          <w:rFonts w:ascii="仿宋_GB2312" w:eastAsia="仿宋_GB2312" w:hAnsi="仿宋"/>
          <w:snapToGrid w:val="0"/>
          <w:color w:val="000000"/>
          <w:kern w:val="0"/>
          <w:sz w:val="28"/>
          <w:szCs w:val="28"/>
        </w:rPr>
        <w:t>榕职院教〔2017〕</w:t>
      </w:r>
      <w:proofErr w:type="gramEnd"/>
      <w:r>
        <w:rPr>
          <w:rFonts w:ascii="仿宋_GB2312" w:eastAsia="仿宋_GB2312" w:hAnsi="仿宋"/>
          <w:snapToGrid w:val="0"/>
          <w:color w:val="000000"/>
          <w:kern w:val="0"/>
          <w:sz w:val="28"/>
          <w:szCs w:val="28"/>
        </w:rPr>
        <w:t>10号）文件规定，为加强对存在学业风险学生的关注和帮扶，确保每一位学生均能顺利完成学业</w:t>
      </w:r>
      <w:r>
        <w:rPr>
          <w:rFonts w:ascii="仿宋_GB2312" w:eastAsia="仿宋_GB2312" w:hAnsi="仿宋" w:hint="eastAsia"/>
          <w:snapToGrid w:val="0"/>
          <w:color w:val="000000"/>
          <w:kern w:val="0"/>
          <w:sz w:val="28"/>
          <w:szCs w:val="28"/>
        </w:rPr>
        <w:t>。</w:t>
      </w:r>
      <w:r>
        <w:rPr>
          <w:rFonts w:ascii="仿宋_GB2312" w:eastAsia="仿宋_GB2312" w:hAnsi="仿宋"/>
          <w:snapToGrid w:val="0"/>
          <w:color w:val="000000"/>
          <w:kern w:val="0"/>
          <w:sz w:val="28"/>
          <w:szCs w:val="28"/>
        </w:rPr>
        <w:t>各学院要高度重视在校生预筛查及预警帮扶工作，确保覆盖到每一位在校生，对于出现学籍风险的学生，需及时进行预警，并告知学生及其家长。</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snapToGrid w:val="0"/>
          <w:color w:val="000000"/>
          <w:kern w:val="0"/>
          <w:sz w:val="28"/>
          <w:szCs w:val="28"/>
        </w:rPr>
        <w:t>2.各学院</w:t>
      </w:r>
      <w:r>
        <w:rPr>
          <w:rFonts w:ascii="仿宋_GB2312" w:eastAsia="仿宋_GB2312" w:hAnsi="仿宋" w:hint="eastAsia"/>
          <w:snapToGrid w:val="0"/>
          <w:color w:val="000000"/>
          <w:kern w:val="0"/>
          <w:sz w:val="28"/>
          <w:szCs w:val="28"/>
        </w:rPr>
        <w:t>应</w:t>
      </w:r>
      <w:r>
        <w:rPr>
          <w:rFonts w:ascii="仿宋_GB2312" w:eastAsia="仿宋_GB2312" w:hAnsi="仿宋"/>
          <w:snapToGrid w:val="0"/>
          <w:color w:val="000000"/>
          <w:kern w:val="0"/>
          <w:sz w:val="28"/>
          <w:szCs w:val="28"/>
        </w:rPr>
        <w:t>建立完善的工作机制，明确责任人，按照人才培养方案要求，</w:t>
      </w:r>
      <w:proofErr w:type="gramStart"/>
      <w:r>
        <w:rPr>
          <w:rFonts w:ascii="仿宋_GB2312" w:eastAsia="仿宋_GB2312" w:hAnsi="仿宋"/>
          <w:snapToGrid w:val="0"/>
          <w:color w:val="000000"/>
          <w:kern w:val="0"/>
          <w:sz w:val="28"/>
          <w:szCs w:val="28"/>
        </w:rPr>
        <w:t>针对学困生制定</w:t>
      </w:r>
      <w:proofErr w:type="gramEnd"/>
      <w:r>
        <w:rPr>
          <w:rFonts w:ascii="仿宋_GB2312" w:eastAsia="仿宋_GB2312" w:hAnsi="仿宋"/>
          <w:snapToGrid w:val="0"/>
          <w:color w:val="000000"/>
          <w:kern w:val="0"/>
          <w:sz w:val="28"/>
          <w:szCs w:val="28"/>
        </w:rPr>
        <w:t>帮扶工作方案，划分工作职责,</w:t>
      </w:r>
      <w:r>
        <w:rPr>
          <w:rFonts w:ascii="仿宋_GB2312" w:eastAsia="仿宋_GB2312" w:hAnsi="仿宋"/>
          <w:snapToGrid w:val="0"/>
          <w:color w:val="000000"/>
          <w:kern w:val="0"/>
          <w:sz w:val="28"/>
          <w:szCs w:val="28"/>
        </w:rPr>
        <w:t>“</w:t>
      </w:r>
      <w:r>
        <w:rPr>
          <w:rFonts w:ascii="仿宋_GB2312" w:eastAsia="仿宋_GB2312" w:hAnsi="仿宋"/>
          <w:snapToGrid w:val="0"/>
          <w:color w:val="000000"/>
          <w:kern w:val="0"/>
          <w:sz w:val="28"/>
          <w:szCs w:val="28"/>
        </w:rPr>
        <w:t>点对点</w:t>
      </w:r>
      <w:r>
        <w:rPr>
          <w:rFonts w:ascii="仿宋_GB2312" w:eastAsia="仿宋_GB2312" w:hAnsi="仿宋"/>
          <w:snapToGrid w:val="0"/>
          <w:color w:val="000000"/>
          <w:kern w:val="0"/>
          <w:sz w:val="28"/>
          <w:szCs w:val="28"/>
        </w:rPr>
        <w:t>”</w:t>
      </w:r>
      <w:r>
        <w:rPr>
          <w:rFonts w:ascii="仿宋_GB2312" w:eastAsia="仿宋_GB2312" w:hAnsi="仿宋"/>
          <w:snapToGrid w:val="0"/>
          <w:color w:val="000000"/>
          <w:kern w:val="0"/>
          <w:sz w:val="28"/>
          <w:szCs w:val="28"/>
        </w:rPr>
        <w:t>做好帮扶工作，确保信息的畅通和帮扶措施的落实。</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snapToGrid w:val="0"/>
          <w:color w:val="000000"/>
          <w:kern w:val="0"/>
          <w:sz w:val="28"/>
          <w:szCs w:val="28"/>
        </w:rPr>
        <w:t>3.重点针对已达到一级（累计不合格课程门数</w:t>
      </w:r>
      <w:r>
        <w:rPr>
          <w:rFonts w:ascii="仿宋_GB2312" w:eastAsia="仿宋_GB2312" w:hAnsi="仿宋"/>
          <w:snapToGrid w:val="0"/>
          <w:color w:val="000000"/>
          <w:kern w:val="0"/>
          <w:sz w:val="28"/>
          <w:szCs w:val="28"/>
        </w:rPr>
        <w:t>≥</w:t>
      </w:r>
      <w:r>
        <w:rPr>
          <w:rFonts w:ascii="仿宋_GB2312" w:eastAsia="仿宋_GB2312" w:hAnsi="仿宋"/>
          <w:snapToGrid w:val="0"/>
          <w:color w:val="000000"/>
          <w:kern w:val="0"/>
          <w:sz w:val="28"/>
          <w:szCs w:val="28"/>
        </w:rPr>
        <w:t>6门）、二级（累计不合格课程门数大于等于3门小于等于5门）预警无法正常完成学业的学生（包括退役士兵职业教育学生、二元制学生、</w:t>
      </w:r>
      <w:r>
        <w:rPr>
          <w:rFonts w:ascii="仿宋_GB2312" w:eastAsia="仿宋_GB2312" w:hAnsi="仿宋" w:hint="eastAsia"/>
          <w:snapToGrid w:val="0"/>
          <w:color w:val="000000"/>
          <w:kern w:val="0"/>
          <w:sz w:val="28"/>
          <w:szCs w:val="28"/>
        </w:rPr>
        <w:t>分</w:t>
      </w:r>
      <w:r>
        <w:rPr>
          <w:rFonts w:ascii="仿宋_GB2312" w:eastAsia="仿宋_GB2312" w:hAnsi="仿宋"/>
          <w:snapToGrid w:val="0"/>
          <w:color w:val="000000"/>
          <w:kern w:val="0"/>
          <w:sz w:val="28"/>
          <w:szCs w:val="28"/>
        </w:rPr>
        <w:t>校区学生等），及时做好预警、帮扶、重修补考及劝学劝退学籍异动工作。</w:t>
      </w:r>
    </w:p>
    <w:p w:rsidR="00466EAA" w:rsidRDefault="00D330EA">
      <w:pPr>
        <w:widowControl/>
        <w:shd w:val="clear" w:color="auto" w:fill="FDFDFE"/>
        <w:spacing w:before="210" w:line="400" w:lineRule="exact"/>
        <w:ind w:firstLineChars="200" w:firstLine="560"/>
        <w:jc w:val="left"/>
        <w:rPr>
          <w:rFonts w:ascii="仿宋_GB2312" w:eastAsia="仿宋_GB2312" w:hAnsi="仿宋"/>
          <w:snapToGrid w:val="0"/>
          <w:color w:val="000000"/>
          <w:kern w:val="0"/>
          <w:sz w:val="28"/>
          <w:szCs w:val="28"/>
        </w:rPr>
      </w:pPr>
      <w:r>
        <w:rPr>
          <w:rFonts w:ascii="仿宋_GB2312" w:eastAsia="仿宋_GB2312" w:hAnsi="仿宋"/>
          <w:snapToGrid w:val="0"/>
          <w:color w:val="000000"/>
          <w:kern w:val="0"/>
          <w:sz w:val="28"/>
          <w:szCs w:val="28"/>
        </w:rPr>
        <w:t>4.各</w:t>
      </w:r>
      <w:r>
        <w:rPr>
          <w:rFonts w:ascii="仿宋_GB2312" w:eastAsia="仿宋_GB2312" w:hAnsi="仿宋" w:hint="eastAsia"/>
          <w:snapToGrid w:val="0"/>
          <w:color w:val="000000"/>
          <w:kern w:val="0"/>
          <w:sz w:val="28"/>
          <w:szCs w:val="28"/>
        </w:rPr>
        <w:t>学院</w:t>
      </w:r>
      <w:r>
        <w:rPr>
          <w:rFonts w:ascii="仿宋_GB2312" w:eastAsia="仿宋_GB2312" w:hAnsi="仿宋"/>
          <w:snapToGrid w:val="0"/>
          <w:color w:val="000000"/>
          <w:kern w:val="0"/>
          <w:sz w:val="28"/>
          <w:szCs w:val="28"/>
        </w:rPr>
        <w:t>须及时整理学籍预警及帮扶档案，详细记录</w:t>
      </w:r>
      <w:proofErr w:type="gramStart"/>
      <w:r>
        <w:rPr>
          <w:rFonts w:ascii="仿宋_GB2312" w:eastAsia="仿宋_GB2312" w:hAnsi="仿宋"/>
          <w:snapToGrid w:val="0"/>
          <w:color w:val="000000"/>
          <w:kern w:val="0"/>
          <w:sz w:val="28"/>
          <w:szCs w:val="28"/>
        </w:rPr>
        <w:t>帮扶全</w:t>
      </w:r>
      <w:proofErr w:type="gramEnd"/>
      <w:r>
        <w:rPr>
          <w:rFonts w:ascii="仿宋_GB2312" w:eastAsia="仿宋_GB2312" w:hAnsi="仿宋"/>
          <w:snapToGrid w:val="0"/>
          <w:color w:val="000000"/>
          <w:kern w:val="0"/>
          <w:sz w:val="28"/>
          <w:szCs w:val="28"/>
        </w:rPr>
        <w:t>过程，将《学籍预警通知书》《学籍预警家长通知书记录》《学籍预警谈话</w:t>
      </w:r>
      <w:r>
        <w:rPr>
          <w:rFonts w:ascii="仿宋_GB2312" w:eastAsia="仿宋_GB2312" w:hAnsi="仿宋"/>
          <w:snapToGrid w:val="0"/>
          <w:color w:val="000000"/>
          <w:kern w:val="0"/>
          <w:sz w:val="28"/>
          <w:szCs w:val="28"/>
        </w:rPr>
        <w:lastRenderedPageBreak/>
        <w:t>记录表》、帮扶方案、学生成绩及劝学劝退学籍异动等相关资料归档保存。</w:t>
      </w:r>
    </w:p>
    <w:p w:rsidR="00466EAA" w:rsidRDefault="00D330EA">
      <w:pPr>
        <w:widowControl/>
        <w:shd w:val="clear" w:color="auto" w:fill="FDFDFE"/>
        <w:spacing w:before="210" w:line="400" w:lineRule="exact"/>
        <w:ind w:firstLineChars="200" w:firstLine="562"/>
        <w:jc w:val="left"/>
        <w:rPr>
          <w:rFonts w:ascii="仿宋_GB2312" w:eastAsia="仿宋_GB2312" w:hAnsi="仿宋"/>
          <w:b/>
          <w:bCs/>
          <w:snapToGrid w:val="0"/>
          <w:color w:val="000000"/>
          <w:kern w:val="0"/>
          <w:sz w:val="28"/>
          <w:szCs w:val="28"/>
        </w:rPr>
      </w:pPr>
      <w:r>
        <w:rPr>
          <w:rFonts w:ascii="仿宋_GB2312" w:eastAsia="仿宋_GB2312" w:hAnsi="仿宋" w:hint="eastAsia"/>
          <w:b/>
          <w:bCs/>
          <w:snapToGrid w:val="0"/>
          <w:color w:val="000000"/>
          <w:kern w:val="0"/>
          <w:sz w:val="28"/>
          <w:szCs w:val="28"/>
        </w:rPr>
        <w:t>三、进一步加强督导督查</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1.加强院级巡查力度。各学院党政负责人牵头组织本院督导、辅导员、教学秘书等相关人员，采用定时巡查与不定时巡查相结合的方式对本学院课堂教学进行巡查（定时巡查每日不少于1次），及时发现问题并督促整改。对教学秩序、教学过程、教学质量造成不良后果的行为，应依据</w:t>
      </w:r>
      <w:proofErr w:type="gramStart"/>
      <w:r>
        <w:rPr>
          <w:rFonts w:ascii="仿宋_GB2312" w:eastAsia="仿宋_GB2312" w:hAnsi="仿宋" w:cstheme="minorBidi" w:hint="eastAsia"/>
          <w:snapToGrid w:val="0"/>
          <w:color w:val="000000"/>
          <w:sz w:val="28"/>
          <w:szCs w:val="28"/>
        </w:rPr>
        <w:t>《</w:t>
      </w:r>
      <w:r>
        <w:rPr>
          <w:rFonts w:ascii="仿宋_GB2312" w:eastAsia="仿宋_GB2312" w:hAnsi="仿宋" w:cstheme="minorBidi"/>
          <w:snapToGrid w:val="0"/>
          <w:color w:val="000000"/>
          <w:sz w:val="28"/>
          <w:szCs w:val="28"/>
        </w:rPr>
        <w:t>《</w:t>
      </w:r>
      <w:proofErr w:type="gramEnd"/>
      <w:r>
        <w:rPr>
          <w:rFonts w:ascii="仿宋_GB2312" w:eastAsia="仿宋_GB2312" w:hAnsi="仿宋" w:cstheme="minorBidi"/>
          <w:snapToGrid w:val="0"/>
          <w:color w:val="000000"/>
          <w:sz w:val="28"/>
          <w:szCs w:val="28"/>
        </w:rPr>
        <w:t>福州职业技术学院教学事故认定及处理办法(试行)</w:t>
      </w:r>
      <w:proofErr w:type="gramStart"/>
      <w:r>
        <w:rPr>
          <w:rFonts w:ascii="仿宋_GB2312" w:eastAsia="仿宋_GB2312" w:hAnsi="仿宋" w:cstheme="minorBidi" w:hint="eastAsia"/>
          <w:snapToGrid w:val="0"/>
          <w:color w:val="000000"/>
          <w:sz w:val="28"/>
          <w:szCs w:val="28"/>
        </w:rPr>
        <w:t>》</w:t>
      </w:r>
      <w:proofErr w:type="gramEnd"/>
      <w:r>
        <w:rPr>
          <w:rFonts w:ascii="仿宋_GB2312" w:eastAsia="仿宋_GB2312" w:hAnsi="仿宋" w:cstheme="minorBidi" w:hint="eastAsia"/>
          <w:snapToGrid w:val="0"/>
          <w:color w:val="000000"/>
          <w:sz w:val="28"/>
          <w:szCs w:val="28"/>
        </w:rPr>
        <w:t>（</w:t>
      </w:r>
      <w:proofErr w:type="gramStart"/>
      <w:r>
        <w:rPr>
          <w:rFonts w:ascii="仿宋_GB2312" w:eastAsia="仿宋_GB2312" w:hAnsi="仿宋" w:cstheme="minorBidi"/>
          <w:snapToGrid w:val="0"/>
          <w:color w:val="000000"/>
          <w:sz w:val="28"/>
          <w:szCs w:val="28"/>
        </w:rPr>
        <w:t>榕职院教〔2018〕</w:t>
      </w:r>
      <w:proofErr w:type="gramEnd"/>
      <w:r>
        <w:rPr>
          <w:rFonts w:ascii="仿宋_GB2312" w:eastAsia="仿宋_GB2312" w:hAnsi="仿宋" w:cstheme="minorBidi"/>
          <w:snapToGrid w:val="0"/>
          <w:color w:val="000000"/>
          <w:sz w:val="28"/>
          <w:szCs w:val="28"/>
        </w:rPr>
        <w:t>13号</w:t>
      </w:r>
      <w:r>
        <w:rPr>
          <w:rFonts w:ascii="仿宋_GB2312" w:eastAsia="仿宋_GB2312" w:hAnsi="仿宋" w:cstheme="minorBidi" w:hint="eastAsia"/>
          <w:snapToGrid w:val="0"/>
          <w:color w:val="000000"/>
          <w:sz w:val="28"/>
          <w:szCs w:val="28"/>
        </w:rPr>
        <w:t>）相关规定进行认定与处理。</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2.加强校级巡查力度。督导室组织校督导、职能部门工作人员等相关人员，采用</w:t>
      </w:r>
      <w:proofErr w:type="gramStart"/>
      <w:r>
        <w:rPr>
          <w:rFonts w:ascii="仿宋_GB2312" w:eastAsia="仿宋_GB2312" w:hAnsi="仿宋" w:cstheme="minorBidi" w:hint="eastAsia"/>
          <w:snapToGrid w:val="0"/>
          <w:color w:val="000000"/>
          <w:sz w:val="28"/>
          <w:szCs w:val="28"/>
        </w:rPr>
        <w:t>实地巡课和网上巡课相</w:t>
      </w:r>
      <w:proofErr w:type="gramEnd"/>
      <w:r>
        <w:rPr>
          <w:rFonts w:ascii="仿宋_GB2312" w:eastAsia="仿宋_GB2312" w:hAnsi="仿宋" w:cstheme="minorBidi" w:hint="eastAsia"/>
          <w:snapToGrid w:val="0"/>
          <w:color w:val="000000"/>
          <w:sz w:val="28"/>
          <w:szCs w:val="28"/>
        </w:rPr>
        <w:t>结合的方式，对全校所有教学场所（含罗源校区、长乐校区）进行巡查。建立问题台账，及时将发现的问题反馈相关学院调查、整改，并督促严肃处理。</w:t>
      </w:r>
    </w:p>
    <w:p w:rsidR="00EC2538" w:rsidRDefault="00D330EA">
      <w:pPr>
        <w:pStyle w:val="a6"/>
        <w:spacing w:afterAutospacing="0" w:line="400" w:lineRule="exact"/>
        <w:ind w:firstLineChars="200" w:firstLine="560"/>
        <w:rPr>
          <w:rFonts w:ascii="仿宋_GB2312" w:eastAsia="仿宋_GB2312" w:hAnsi="仿宋" w:cstheme="minorBidi" w:hint="eastAsia"/>
          <w:snapToGrid w:val="0"/>
          <w:color w:val="000000"/>
          <w:sz w:val="28"/>
          <w:szCs w:val="28"/>
        </w:rPr>
      </w:pPr>
      <w:r>
        <w:rPr>
          <w:rFonts w:ascii="仿宋_GB2312" w:eastAsia="仿宋_GB2312" w:hAnsi="仿宋" w:cstheme="minorBidi" w:hint="eastAsia"/>
          <w:snapToGrid w:val="0"/>
          <w:color w:val="000000"/>
          <w:sz w:val="28"/>
          <w:szCs w:val="28"/>
        </w:rPr>
        <w:t>附件：</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1.</w:t>
      </w:r>
      <w:r>
        <w:rPr>
          <w:rFonts w:ascii="仿宋_GB2312" w:eastAsia="仿宋_GB2312" w:hAnsi="仿宋" w:cstheme="minorBidi"/>
          <w:snapToGrid w:val="0"/>
          <w:color w:val="000000"/>
          <w:sz w:val="28"/>
          <w:szCs w:val="28"/>
        </w:rPr>
        <w:t>《福州职业技术学院 教学事故认定及处理办法(试行)》（</w:t>
      </w:r>
      <w:proofErr w:type="gramStart"/>
      <w:r>
        <w:rPr>
          <w:rFonts w:ascii="仿宋_GB2312" w:eastAsia="仿宋_GB2312" w:hAnsi="仿宋" w:cstheme="minorBidi"/>
          <w:snapToGrid w:val="0"/>
          <w:color w:val="000000"/>
          <w:sz w:val="28"/>
          <w:szCs w:val="28"/>
        </w:rPr>
        <w:t>榕职院教〔2018〕</w:t>
      </w:r>
      <w:proofErr w:type="gramEnd"/>
      <w:r>
        <w:rPr>
          <w:rFonts w:ascii="仿宋_GB2312" w:eastAsia="仿宋_GB2312" w:hAnsi="仿宋" w:cstheme="minorBidi"/>
          <w:snapToGrid w:val="0"/>
          <w:color w:val="000000"/>
          <w:sz w:val="28"/>
          <w:szCs w:val="28"/>
        </w:rPr>
        <w:t>13号）</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2.《</w:t>
      </w:r>
      <w:r>
        <w:rPr>
          <w:rFonts w:ascii="仿宋_GB2312" w:eastAsia="仿宋_GB2312" w:hAnsi="仿宋" w:cstheme="minorBidi"/>
          <w:snapToGrid w:val="0"/>
          <w:color w:val="000000"/>
          <w:sz w:val="28"/>
          <w:szCs w:val="28"/>
        </w:rPr>
        <w:t>福州职业技术学院排课、调停补课、代课及授课场地调整管理办法（修订）</w:t>
      </w:r>
      <w:r>
        <w:rPr>
          <w:rFonts w:ascii="仿宋_GB2312" w:eastAsia="仿宋_GB2312" w:hAnsi="仿宋" w:cstheme="minorBidi" w:hint="eastAsia"/>
          <w:snapToGrid w:val="0"/>
          <w:color w:val="000000"/>
          <w:sz w:val="28"/>
          <w:szCs w:val="28"/>
        </w:rPr>
        <w:t>》（</w:t>
      </w:r>
      <w:proofErr w:type="gramStart"/>
      <w:r>
        <w:rPr>
          <w:rFonts w:ascii="仿宋_GB2312" w:eastAsia="仿宋_GB2312" w:hAnsi="仿宋" w:cstheme="minorBidi" w:hint="eastAsia"/>
          <w:snapToGrid w:val="0"/>
          <w:color w:val="000000"/>
          <w:sz w:val="28"/>
          <w:szCs w:val="28"/>
        </w:rPr>
        <w:t>榕</w:t>
      </w:r>
      <w:proofErr w:type="gramEnd"/>
      <w:r>
        <w:rPr>
          <w:rFonts w:ascii="仿宋_GB2312" w:eastAsia="仿宋_GB2312" w:hAnsi="仿宋" w:cstheme="minorBidi" w:hint="eastAsia"/>
          <w:snapToGrid w:val="0"/>
          <w:color w:val="000000"/>
          <w:sz w:val="28"/>
          <w:szCs w:val="28"/>
        </w:rPr>
        <w:t>职院教务</w:t>
      </w:r>
      <w:r>
        <w:rPr>
          <w:rFonts w:ascii="仿宋_GB2312" w:eastAsia="仿宋_GB2312" w:hAnsi="仿宋" w:cstheme="minorBidi"/>
          <w:snapToGrid w:val="0"/>
          <w:color w:val="000000"/>
          <w:sz w:val="28"/>
          <w:szCs w:val="28"/>
        </w:rPr>
        <w:t>〔20</w:t>
      </w:r>
      <w:r>
        <w:rPr>
          <w:rFonts w:ascii="仿宋_GB2312" w:eastAsia="仿宋_GB2312" w:hAnsi="仿宋" w:cstheme="minorBidi" w:hint="eastAsia"/>
          <w:snapToGrid w:val="0"/>
          <w:color w:val="000000"/>
          <w:sz w:val="28"/>
          <w:szCs w:val="28"/>
        </w:rPr>
        <w:t>19</w:t>
      </w:r>
      <w:r>
        <w:rPr>
          <w:rFonts w:ascii="仿宋_GB2312" w:eastAsia="仿宋_GB2312" w:hAnsi="仿宋" w:cstheme="minorBidi"/>
          <w:snapToGrid w:val="0"/>
          <w:color w:val="000000"/>
          <w:sz w:val="28"/>
          <w:szCs w:val="28"/>
        </w:rPr>
        <w:t>〕</w:t>
      </w:r>
      <w:r>
        <w:rPr>
          <w:rFonts w:ascii="仿宋_GB2312" w:eastAsia="仿宋_GB2312" w:hAnsi="仿宋" w:cstheme="minorBidi" w:hint="eastAsia"/>
          <w:snapToGrid w:val="0"/>
          <w:color w:val="000000"/>
          <w:sz w:val="28"/>
          <w:szCs w:val="28"/>
        </w:rPr>
        <w:t>28号）</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3.《关于做好2023-2024学年第一学期期末学籍预警及帮扶工作的通知》（</w:t>
      </w:r>
      <w:proofErr w:type="gramStart"/>
      <w:r>
        <w:rPr>
          <w:rFonts w:ascii="仿宋_GB2312" w:eastAsia="仿宋_GB2312" w:hAnsi="仿宋" w:cstheme="minorBidi"/>
          <w:snapToGrid w:val="0"/>
          <w:color w:val="000000"/>
          <w:sz w:val="28"/>
          <w:szCs w:val="28"/>
        </w:rPr>
        <w:t>榕</w:t>
      </w:r>
      <w:proofErr w:type="gramEnd"/>
      <w:r>
        <w:rPr>
          <w:rFonts w:ascii="仿宋_GB2312" w:eastAsia="仿宋_GB2312" w:hAnsi="仿宋" w:cstheme="minorBidi"/>
          <w:snapToGrid w:val="0"/>
          <w:color w:val="000000"/>
          <w:sz w:val="28"/>
          <w:szCs w:val="28"/>
        </w:rPr>
        <w:t>职院教务〔20</w:t>
      </w:r>
      <w:r>
        <w:rPr>
          <w:rFonts w:ascii="仿宋_GB2312" w:eastAsia="仿宋_GB2312" w:hAnsi="仿宋" w:cstheme="minorBidi" w:hint="eastAsia"/>
          <w:snapToGrid w:val="0"/>
          <w:color w:val="000000"/>
          <w:sz w:val="28"/>
          <w:szCs w:val="28"/>
        </w:rPr>
        <w:t>24</w:t>
      </w:r>
      <w:r>
        <w:rPr>
          <w:rFonts w:ascii="仿宋_GB2312" w:eastAsia="仿宋_GB2312" w:hAnsi="仿宋" w:cstheme="minorBidi"/>
          <w:snapToGrid w:val="0"/>
          <w:color w:val="000000"/>
          <w:sz w:val="28"/>
          <w:szCs w:val="28"/>
        </w:rPr>
        <w:t>〕</w:t>
      </w:r>
      <w:r>
        <w:rPr>
          <w:rFonts w:ascii="仿宋_GB2312" w:eastAsia="仿宋_GB2312" w:hAnsi="仿宋" w:cstheme="minorBidi" w:hint="eastAsia"/>
          <w:snapToGrid w:val="0"/>
          <w:color w:val="000000"/>
          <w:sz w:val="28"/>
          <w:szCs w:val="28"/>
        </w:rPr>
        <w:t>2</w:t>
      </w:r>
      <w:r>
        <w:rPr>
          <w:rFonts w:ascii="仿宋_GB2312" w:eastAsia="仿宋_GB2312" w:hAnsi="仿宋" w:cstheme="minorBidi"/>
          <w:snapToGrid w:val="0"/>
          <w:color w:val="000000"/>
          <w:sz w:val="28"/>
          <w:szCs w:val="28"/>
        </w:rPr>
        <w:t>号</w:t>
      </w:r>
      <w:r>
        <w:rPr>
          <w:rFonts w:ascii="仿宋_GB2312" w:eastAsia="仿宋_GB2312" w:hAnsi="仿宋" w:cstheme="minorBidi" w:hint="eastAsia"/>
          <w:snapToGrid w:val="0"/>
          <w:color w:val="000000"/>
          <w:sz w:val="28"/>
          <w:szCs w:val="28"/>
        </w:rPr>
        <w:t>）</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4.《福州职业技术学院学籍预警管理办法》（</w:t>
      </w:r>
      <w:proofErr w:type="gramStart"/>
      <w:r>
        <w:rPr>
          <w:rFonts w:ascii="仿宋_GB2312" w:eastAsia="仿宋_GB2312" w:hAnsi="仿宋" w:cstheme="minorBidi" w:hint="eastAsia"/>
          <w:snapToGrid w:val="0"/>
          <w:color w:val="000000"/>
          <w:sz w:val="28"/>
          <w:szCs w:val="28"/>
        </w:rPr>
        <w:t>榕职院教〔2017〕</w:t>
      </w:r>
      <w:proofErr w:type="gramEnd"/>
      <w:r>
        <w:rPr>
          <w:rFonts w:ascii="仿宋_GB2312" w:eastAsia="仿宋_GB2312" w:hAnsi="仿宋" w:cstheme="minorBidi" w:hint="eastAsia"/>
          <w:snapToGrid w:val="0"/>
          <w:color w:val="000000"/>
          <w:sz w:val="28"/>
          <w:szCs w:val="28"/>
        </w:rPr>
        <w:t>11号）</w:t>
      </w:r>
    </w:p>
    <w:p w:rsidR="00466EAA" w:rsidRDefault="00D330EA">
      <w:pPr>
        <w:pStyle w:val="a6"/>
        <w:spacing w:afterAutospacing="0" w:line="400" w:lineRule="exact"/>
        <w:ind w:firstLineChars="200" w:firstLine="560"/>
        <w:rPr>
          <w:rFonts w:ascii="仿宋_GB2312" w:eastAsia="仿宋_GB2312" w:hAnsi="仿宋" w:cstheme="minorBidi"/>
          <w:snapToGrid w:val="0"/>
          <w:color w:val="000000"/>
          <w:sz w:val="28"/>
          <w:szCs w:val="28"/>
        </w:rPr>
      </w:pPr>
      <w:r>
        <w:rPr>
          <w:rFonts w:ascii="仿宋_GB2312" w:eastAsia="仿宋_GB2312" w:hAnsi="仿宋" w:cstheme="minorBidi" w:hint="eastAsia"/>
          <w:snapToGrid w:val="0"/>
          <w:color w:val="000000"/>
          <w:sz w:val="28"/>
          <w:szCs w:val="28"/>
        </w:rPr>
        <w:t>5.《关于做好2024届毕业生第二次预筛查及预警帮扶工作的通知》（</w:t>
      </w:r>
      <w:proofErr w:type="gramStart"/>
      <w:r>
        <w:rPr>
          <w:rFonts w:ascii="仿宋_GB2312" w:eastAsia="仿宋_GB2312" w:hAnsi="仿宋" w:cstheme="minorBidi" w:hint="eastAsia"/>
          <w:snapToGrid w:val="0"/>
          <w:color w:val="000000"/>
          <w:sz w:val="28"/>
          <w:szCs w:val="28"/>
        </w:rPr>
        <w:t>榕</w:t>
      </w:r>
      <w:proofErr w:type="gramEnd"/>
      <w:r>
        <w:rPr>
          <w:rFonts w:ascii="仿宋_GB2312" w:eastAsia="仿宋_GB2312" w:hAnsi="仿宋" w:cstheme="minorBidi" w:hint="eastAsia"/>
          <w:snapToGrid w:val="0"/>
          <w:color w:val="000000"/>
          <w:sz w:val="28"/>
          <w:szCs w:val="28"/>
        </w:rPr>
        <w:t>职院教务〔2024〕17号）</w:t>
      </w:r>
    </w:p>
    <w:p w:rsidR="00466EAA" w:rsidRDefault="00D330EA">
      <w:pPr>
        <w:pStyle w:val="a6"/>
        <w:spacing w:afterAutospacing="0" w:line="400" w:lineRule="exact"/>
        <w:ind w:firstLineChars="2400" w:firstLine="6720"/>
        <w:rPr>
          <w:rFonts w:ascii="仿宋_GB2312" w:eastAsia="仿宋_GB2312" w:hAnsi="仿宋" w:cstheme="minorBidi"/>
          <w:snapToGrid w:val="0"/>
          <w:color w:val="000000"/>
          <w:sz w:val="28"/>
          <w:szCs w:val="28"/>
        </w:rPr>
      </w:pPr>
      <w:r>
        <w:rPr>
          <w:rFonts w:ascii="仿宋_GB2312" w:eastAsia="仿宋_GB2312" w:hAnsi="仿宋" w:cstheme="minorBidi"/>
          <w:snapToGrid w:val="0"/>
          <w:color w:val="000000"/>
          <w:sz w:val="28"/>
          <w:szCs w:val="28"/>
        </w:rPr>
        <w:t>教</w:t>
      </w:r>
      <w:r>
        <w:rPr>
          <w:rFonts w:ascii="仿宋_GB2312" w:eastAsia="仿宋_GB2312" w:hAnsi="仿宋" w:cstheme="minorBidi" w:hint="eastAsia"/>
          <w:snapToGrid w:val="0"/>
          <w:color w:val="000000"/>
          <w:sz w:val="28"/>
          <w:szCs w:val="28"/>
        </w:rPr>
        <w:t xml:space="preserve"> </w:t>
      </w:r>
      <w:proofErr w:type="gramStart"/>
      <w:r>
        <w:rPr>
          <w:rFonts w:ascii="仿宋_GB2312" w:eastAsia="仿宋_GB2312" w:hAnsi="仿宋" w:cstheme="minorBidi"/>
          <w:snapToGrid w:val="0"/>
          <w:color w:val="000000"/>
          <w:sz w:val="28"/>
          <w:szCs w:val="28"/>
        </w:rPr>
        <w:t>务</w:t>
      </w:r>
      <w:proofErr w:type="gramEnd"/>
      <w:r>
        <w:rPr>
          <w:rFonts w:ascii="仿宋_GB2312" w:eastAsia="仿宋_GB2312" w:hAnsi="仿宋" w:cstheme="minorBidi" w:hint="eastAsia"/>
          <w:snapToGrid w:val="0"/>
          <w:color w:val="000000"/>
          <w:sz w:val="28"/>
          <w:szCs w:val="28"/>
        </w:rPr>
        <w:t xml:space="preserve"> </w:t>
      </w:r>
      <w:r>
        <w:rPr>
          <w:rFonts w:ascii="仿宋_GB2312" w:eastAsia="仿宋_GB2312" w:hAnsi="仿宋" w:cstheme="minorBidi"/>
          <w:snapToGrid w:val="0"/>
          <w:color w:val="000000"/>
          <w:sz w:val="28"/>
          <w:szCs w:val="28"/>
        </w:rPr>
        <w:t>处</w:t>
      </w:r>
    </w:p>
    <w:p w:rsidR="00466EAA" w:rsidRDefault="00D330EA">
      <w:pPr>
        <w:pStyle w:val="a6"/>
        <w:spacing w:afterAutospacing="0" w:line="400" w:lineRule="exact"/>
        <w:ind w:firstLineChars="2200" w:firstLine="6160"/>
        <w:rPr>
          <w:rFonts w:ascii="仿宋_GB2312" w:eastAsia="仿宋_GB2312" w:hAnsi="仿宋" w:cstheme="minorBidi"/>
          <w:snapToGrid w:val="0"/>
          <w:color w:val="000000"/>
          <w:sz w:val="28"/>
          <w:szCs w:val="28"/>
        </w:rPr>
      </w:pPr>
      <w:bookmarkStart w:id="0" w:name="_GoBack"/>
      <w:bookmarkEnd w:id="0"/>
      <w:r>
        <w:rPr>
          <w:rFonts w:ascii="仿宋_GB2312" w:eastAsia="仿宋_GB2312" w:hAnsi="仿宋" w:cstheme="minorBidi" w:hint="eastAsia"/>
          <w:snapToGrid w:val="0"/>
          <w:color w:val="000000"/>
          <w:sz w:val="28"/>
          <w:szCs w:val="28"/>
        </w:rPr>
        <w:t>2024年6月11日</w:t>
      </w:r>
    </w:p>
    <w:p w:rsidR="00466EAA" w:rsidRDefault="001866C2">
      <w:pPr>
        <w:spacing w:line="400" w:lineRule="exact"/>
        <w:rPr>
          <w:rFonts w:ascii="Segoe UI" w:hAnsi="Segoe UI" w:cs="Segoe UI"/>
          <w:color w:val="05073B"/>
          <w:sz w:val="28"/>
          <w:szCs w:val="28"/>
        </w:rPr>
      </w:pPr>
      <w:r w:rsidRPr="001866C2">
        <w:rPr>
          <w:rFonts w:ascii="仿宋_GB2312" w:eastAsia="仿宋_GB2312" w:hAnsi="仿宋"/>
          <w:color w:val="000000"/>
          <w:kern w:val="0"/>
          <w:sz w:val="28"/>
          <w:szCs w:val="28"/>
        </w:rPr>
        <w:pict>
          <v:line id="_x0000_s2051" style="position:absolute;left:0;text-align:left;z-index:251662336" from="-10.9pt,28.15pt" to="431.5pt,28.15pt" o:gfxdata="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Zl1CtcAAAAJAQAADwAAAAAAAAABACAAAAAiAAAAZHJzL2Rvd25yZXYueG1sUEsBAhQAFAAAAAgA&#10;h07iQPgKhqXtAQAA6gMAAA4AAAAAAAAAAQAgAAAAJgEAAGRycy9lMm9Eb2MueG1sUEsFBgAAAAAG&#10;AAYAWQEAAIUFAAAAAA==&#10;" strokeweight="2pt"/>
        </w:pict>
      </w:r>
      <w:r w:rsidRPr="001866C2">
        <w:rPr>
          <w:rFonts w:ascii="仿宋_GB2312" w:eastAsia="仿宋_GB2312" w:hAnsi="仿宋"/>
          <w:snapToGrid w:val="0"/>
          <w:color w:val="000000"/>
          <w:kern w:val="0"/>
          <w:sz w:val="28"/>
          <w:szCs w:val="28"/>
        </w:rPr>
        <w:pict>
          <v:line id="直线 3" o:spid="_x0000_s2050" style="position:absolute;left:0;text-align:left;z-index:251661312;mso-position-horizontal:center" from="0,0" to="442.4pt,0" o:gfxdata="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1L2j/9EA&#10;AAACAQAADwAAAAAAAAABACAAAAAiAAAAZHJzL2Rvd25yZXYueG1sUEsBAhQAFAAAAAgAh07iQOa0&#10;GObtAQAA6gMAAA4AAAAAAAAAAQAgAAAAIAEAAGRycy9lMm9Eb2MueG1sUEsFBgAAAAAGAAYAWQEA&#10;AH8FAAAAAA==&#10;" strokeweight="2pt"/>
        </w:pict>
      </w:r>
      <w:r w:rsidR="00D330EA">
        <w:rPr>
          <w:rFonts w:ascii="仿宋_GB2312" w:eastAsia="仿宋_GB2312" w:hAnsi="仿宋" w:hint="eastAsia"/>
          <w:snapToGrid w:val="0"/>
          <w:color w:val="000000"/>
          <w:kern w:val="0"/>
          <w:sz w:val="28"/>
          <w:szCs w:val="28"/>
        </w:rPr>
        <w:t xml:space="preserve">  福州职业技术学院教务处  </w:t>
      </w:r>
      <w:r w:rsidR="00EC2538">
        <w:rPr>
          <w:rFonts w:ascii="仿宋_GB2312" w:eastAsia="仿宋_GB2312" w:hAnsi="仿宋" w:hint="eastAsia"/>
          <w:snapToGrid w:val="0"/>
          <w:color w:val="000000"/>
          <w:kern w:val="0"/>
          <w:sz w:val="28"/>
          <w:szCs w:val="28"/>
        </w:rPr>
        <w:t xml:space="preserve"> </w:t>
      </w:r>
      <w:r w:rsidR="00D330EA">
        <w:rPr>
          <w:rFonts w:ascii="仿宋_GB2312" w:eastAsia="仿宋_GB2312" w:hAnsi="仿宋" w:hint="eastAsia"/>
          <w:snapToGrid w:val="0"/>
          <w:color w:val="000000"/>
          <w:kern w:val="0"/>
          <w:sz w:val="28"/>
          <w:szCs w:val="28"/>
        </w:rPr>
        <w:t xml:space="preserve">            2024年6月11日印发</w:t>
      </w:r>
    </w:p>
    <w:sectPr w:rsidR="00466EAA" w:rsidSect="00EC2538">
      <w:footerReference w:type="default" r:id="rId7"/>
      <w:pgSz w:w="11906" w:h="16838"/>
      <w:pgMar w:top="1304" w:right="1701" w:bottom="130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168A" w:rsidRDefault="00F6168A" w:rsidP="00466EAA">
      <w:r>
        <w:separator/>
      </w:r>
    </w:p>
  </w:endnote>
  <w:endnote w:type="continuationSeparator" w:id="0">
    <w:p w:rsidR="00F6168A" w:rsidRDefault="00F6168A" w:rsidP="00466E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Dotum">
    <w:altName w:val="돋움"/>
    <w:panose1 w:val="020B0600000101010101"/>
    <w:charset w:val="81"/>
    <w:family w:val="modern"/>
    <w:notTrueType/>
    <w:pitch w:val="fixed"/>
    <w:sig w:usb0="00000001" w:usb1="09060000" w:usb2="00000010" w:usb3="00000000" w:csb0="0008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EAA" w:rsidRDefault="001866C2">
    <w:pPr>
      <w:pStyle w:val="a4"/>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uU2lsgBAACZ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blNpbIAQAAmQMAAA4AAAAAAAAAAQAgAAAAHgEAAGRycy9lMm9Eb2Mu&#10;eG1sUEsFBgAAAAAGAAYAWQEAAFgFAAAAAA==&#10;" filled="f" stroked="f">
          <v:textbox style="mso-fit-shape-to-text:t" inset="0,0,0,0">
            <w:txbxContent>
              <w:p w:rsidR="00466EAA" w:rsidRDefault="001866C2">
                <w:pPr>
                  <w:pStyle w:val="a4"/>
                </w:pPr>
                <w:r>
                  <w:fldChar w:fldCharType="begin"/>
                </w:r>
                <w:r w:rsidR="00D330EA">
                  <w:instrText xml:space="preserve"> PAGE  \* MERGEFORMAT </w:instrText>
                </w:r>
                <w:r>
                  <w:fldChar w:fldCharType="separate"/>
                </w:r>
                <w:r w:rsidR="00EC2538">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168A" w:rsidRDefault="00F6168A" w:rsidP="00466EAA">
      <w:r>
        <w:separator/>
      </w:r>
    </w:p>
  </w:footnote>
  <w:footnote w:type="continuationSeparator" w:id="0">
    <w:p w:rsidR="00F6168A" w:rsidRDefault="00F6168A" w:rsidP="00466E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fillcolor="white">
      <v:fill color="white"/>
      <o:colormenu v:ext="edit" fillcolor="none [3212]"/>
    </o:shapedefaults>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2E4MDRkNzIzNmM2NzAxODY2MzdhMjVjY2Q1NTczMDYifQ=="/>
  </w:docVars>
  <w:rsids>
    <w:rsidRoot w:val="00BD2244"/>
    <w:rsid w:val="00010321"/>
    <w:rsid w:val="001866C2"/>
    <w:rsid w:val="00197BC8"/>
    <w:rsid w:val="001D5CC5"/>
    <w:rsid w:val="00221D76"/>
    <w:rsid w:val="002D7D22"/>
    <w:rsid w:val="0039403C"/>
    <w:rsid w:val="00396D98"/>
    <w:rsid w:val="00466EAA"/>
    <w:rsid w:val="00476A35"/>
    <w:rsid w:val="00557B5B"/>
    <w:rsid w:val="005F1BF1"/>
    <w:rsid w:val="006258E8"/>
    <w:rsid w:val="00827740"/>
    <w:rsid w:val="00874ADD"/>
    <w:rsid w:val="008A69B2"/>
    <w:rsid w:val="008C44D7"/>
    <w:rsid w:val="00A17F5F"/>
    <w:rsid w:val="00B76BA0"/>
    <w:rsid w:val="00BD2244"/>
    <w:rsid w:val="00BE2423"/>
    <w:rsid w:val="00C00059"/>
    <w:rsid w:val="00C010DA"/>
    <w:rsid w:val="00D330EA"/>
    <w:rsid w:val="00EB1C34"/>
    <w:rsid w:val="00EB4952"/>
    <w:rsid w:val="00EC2538"/>
    <w:rsid w:val="00F30FE9"/>
    <w:rsid w:val="00F6168A"/>
    <w:rsid w:val="197B1D19"/>
    <w:rsid w:val="21E74A3D"/>
    <w:rsid w:val="30BA3892"/>
    <w:rsid w:val="3BAE5B1D"/>
    <w:rsid w:val="43B35F95"/>
    <w:rsid w:val="55432F3C"/>
    <w:rsid w:val="5927085B"/>
    <w:rsid w:val="6F8640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fillcolor="white">
      <v:fill color="white"/>
      <o:colormenu v:ext="edit" fillcolor="none [3212]"/>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EA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466EAA"/>
    <w:pPr>
      <w:ind w:leftChars="2500" w:left="100"/>
    </w:pPr>
  </w:style>
  <w:style w:type="paragraph" w:styleId="a4">
    <w:name w:val="footer"/>
    <w:basedOn w:val="a"/>
    <w:link w:val="Char0"/>
    <w:uiPriority w:val="99"/>
    <w:semiHidden/>
    <w:unhideWhenUsed/>
    <w:qFormat/>
    <w:rsid w:val="00466EAA"/>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466EAA"/>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466EAA"/>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66EAA"/>
    <w:rPr>
      <w:b/>
      <w:bCs/>
    </w:rPr>
  </w:style>
  <w:style w:type="character" w:customStyle="1" w:styleId="Char1">
    <w:name w:val="页眉 Char"/>
    <w:basedOn w:val="a0"/>
    <w:link w:val="a5"/>
    <w:uiPriority w:val="99"/>
    <w:semiHidden/>
    <w:qFormat/>
    <w:rsid w:val="00466EAA"/>
    <w:rPr>
      <w:sz w:val="18"/>
      <w:szCs w:val="18"/>
    </w:rPr>
  </w:style>
  <w:style w:type="character" w:customStyle="1" w:styleId="Char0">
    <w:name w:val="页脚 Char"/>
    <w:basedOn w:val="a0"/>
    <w:link w:val="a4"/>
    <w:uiPriority w:val="99"/>
    <w:semiHidden/>
    <w:qFormat/>
    <w:rsid w:val="00466EAA"/>
    <w:rPr>
      <w:sz w:val="18"/>
      <w:szCs w:val="18"/>
    </w:rPr>
  </w:style>
  <w:style w:type="character" w:customStyle="1" w:styleId="Char">
    <w:name w:val="日期 Char"/>
    <w:basedOn w:val="a0"/>
    <w:link w:val="a3"/>
    <w:uiPriority w:val="99"/>
    <w:semiHidden/>
    <w:qFormat/>
    <w:rsid w:val="00466EA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宋伟</dc:creator>
  <cp:lastModifiedBy>宋伟</cp:lastModifiedBy>
  <cp:revision>13</cp:revision>
  <cp:lastPrinted>2024-06-12T03:33:00Z</cp:lastPrinted>
  <dcterms:created xsi:type="dcterms:W3CDTF">2024-06-07T06:03:00Z</dcterms:created>
  <dcterms:modified xsi:type="dcterms:W3CDTF">2024-06-12T05:09:00Z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381E3DEB633343AB97ADA1E7007B851E_13</vt:lpwstr>
  </property>
</Properties>
</file>